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5"/>
        <w:tblW w:w="119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3687"/>
        <w:gridCol w:w="4254"/>
      </w:tblGrid>
      <w:tr w:rsidR="00776A28" w:rsidTr="00776A28">
        <w:trPr>
          <w:cantSplit/>
          <w:trHeight w:val="1276"/>
        </w:trPr>
        <w:tc>
          <w:tcPr>
            <w:tcW w:w="3969" w:type="dxa"/>
            <w:hideMark/>
          </w:tcPr>
          <w:p w:rsidR="00776A28" w:rsidRDefault="00776A28" w:rsidP="00776A28">
            <w:pPr>
              <w:pStyle w:val="Header"/>
              <w:spacing w:before="60"/>
              <w:jc w:val="center"/>
              <w:rPr>
                <w:sz w:val="14"/>
                <w:szCs w:val="14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Bosna i Hercegovina</w:t>
            </w:r>
          </w:p>
          <w:p w:rsidR="00776A28" w:rsidRDefault="00776A28" w:rsidP="00776A28">
            <w:pPr>
              <w:pStyle w:val="Header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G Times" w:hAnsi="CG Times"/>
                <w:sz w:val="14"/>
                <w:szCs w:val="14"/>
                <w:lang w:val="hr-HR"/>
              </w:rPr>
              <w:t>FEDERACIJA BOSNE I HERCEGOVINE</w:t>
            </w:r>
          </w:p>
          <w:p w:rsidR="00776A28" w:rsidRDefault="00776A28" w:rsidP="00776A28">
            <w:pPr>
              <w:pStyle w:val="Header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FEDERALNO MINISTARSTVO ZA PITANJA</w:t>
            </w:r>
          </w:p>
          <w:p w:rsidR="00776A28" w:rsidRDefault="00776A28" w:rsidP="00776A28">
            <w:pPr>
              <w:pStyle w:val="Header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BORACA I INVALIDA ODBRAMBENO</w:t>
            </w:r>
          </w:p>
          <w:p w:rsidR="00776A28" w:rsidRDefault="00776A28" w:rsidP="00776A28">
            <w:pPr>
              <w:pStyle w:val="Header"/>
              <w:ind w:right="35"/>
              <w:jc w:val="center"/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b/>
                <w:sz w:val="14"/>
                <w:szCs w:val="14"/>
                <w:lang w:val="hr-HR"/>
              </w:rPr>
              <w:t>OSLOBODILAČKOG RATA</w:t>
            </w:r>
          </w:p>
          <w:p w:rsidR="00776A28" w:rsidRDefault="00776A28" w:rsidP="00776A28">
            <w:pPr>
              <w:pStyle w:val="Header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FEDERALNO MINISTARSTVO</w:t>
            </w:r>
          </w:p>
          <w:p w:rsidR="00776A28" w:rsidRDefault="00776A28" w:rsidP="00776A28">
            <w:pPr>
              <w:pStyle w:val="Header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ZA PITANJA BRANITELJA I INVALIDA</w:t>
            </w:r>
          </w:p>
          <w:p w:rsidR="00776A28" w:rsidRDefault="00776A28" w:rsidP="00776A28">
            <w:pPr>
              <w:pStyle w:val="Header"/>
              <w:ind w:right="35"/>
              <w:jc w:val="center"/>
              <w:rPr>
                <w:rFonts w:ascii="Clarendon Condensed" w:hAnsi="Clarendon Condensed"/>
                <w:sz w:val="14"/>
                <w:szCs w:val="14"/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DOMOVINSKOG RATA</w:t>
            </w:r>
          </w:p>
          <w:p w:rsidR="00776A28" w:rsidRDefault="00776A28" w:rsidP="00776A28">
            <w:pPr>
              <w:pStyle w:val="Header"/>
              <w:ind w:right="35"/>
              <w:jc w:val="center"/>
              <w:rPr>
                <w:sz w:val="20"/>
                <w:lang w:val="hr-HR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BDE4" wp14:editId="2B5EAD2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50800</wp:posOffset>
                      </wp:positionV>
                      <wp:extent cx="6965315" cy="635"/>
                      <wp:effectExtent l="0" t="0" r="2603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65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FE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3pt;margin-top:4pt;width:54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F5JwIAAEwEAAAOAAAAZHJzL2Uyb0RvYy54bWysVMGO2jAQvVfqP1i+QwgEChFhtUqgl20X&#10;ie0HGNshVhOPZRsCqvrvtZ2QlvZSVc3BseOZ5zdvnrN+ujY1unBtBMgMx+MJRlxSYEKeMvzlbTda&#10;YmQskYzUIHmGb9zgp837d+tWpXwKFdSMa+RApElbleHKWpVGkaEVb4gZg+LSbZagG2LdUp8ipknr&#10;0Js6mk4mi6gFzZQGyo1xX4tuE28Cfllyal/L0nCL6gw7bjaMOoxHP0abNUlPmqhK0J4G+QcWDRHS&#10;HTpAFcQSdNbiD6hGUA0GSjum0ERQloLyUIOrJp78Vs2hIoqHWpw4Rg0ymf8HSz9f9hoJ5nqHkSSN&#10;a9HBaiJOlUXPWkOLcpDSyQgaxV6tVpnUJeVyr3299CoP6gXoV4Mk5BWRJx5Yv92UgwoZ0UOKXxjl&#10;zjy2n4C5GHK2EKS7lrrxkE4UdA0dug0d4leLqPu4WC3ms3iOEXV7i9ncM4pIek9V2tiPHBrkJxk2&#10;fSVDCXE4iFxejO0S7wn+XAk7UdfBELVEbYZX8+k8JBioBfObPszo0zGvNboQb6nw9CwewjScJQtg&#10;FSds288tEXU3d6xr6fFcaY5OP+s88201WW2X22UySqaL7SiZFMXoeZcno8Uu/jAvZkWeF/F3Ty1O&#10;0kowxqVnd/dvnPydP/qb1DlvcPAgQ/SIHoR2ZO/vQDr01rezM8YR2G2vvbS+zc6yIbi/Xv5O/LoO&#10;UT9/ApsfAAAA//8DAFBLAwQUAAYACAAAACEAomjlvt0AAAAHAQAADwAAAGRycy9kb3ducmV2Lnht&#10;bEyPwW7CMBBE75X4B2srcamKHVooTeMghNRDjwWkXk28TdLG6yh2SODru5zocXZGM2+z9egaccIu&#10;1J40JDMFAqnwtqZSw2H//rgCEaIhaxpPqOGMAdb55C4zqfUDfeJpF0vBJRRSo6GKsU2lDEWFzoSZ&#10;b5HY+/adM5FlV0rbmYHLXSPnSi2lMzXxQmVa3FZY/O56pwFDv0jU5tWVh4/L8PA1v/wM7V7r6f24&#10;eQMRcYy3MFzxGR1yZjr6nmwQjYZnteSkhhV/dLWTp5cFiCMfEpB5Jv/z538AAAD//wMAUEsBAi0A&#10;FAAGAAgAAAAhALaDOJL+AAAA4QEAABMAAAAAAAAAAAAAAAAAAAAAAFtDb250ZW50X1R5cGVzXS54&#10;bWxQSwECLQAUAAYACAAAACEAOP0h/9YAAACUAQAACwAAAAAAAAAAAAAAAAAvAQAAX3JlbHMvLnJl&#10;bHNQSwECLQAUAAYACAAAACEACqjReScCAABMBAAADgAAAAAAAAAAAAAAAAAuAgAAZHJzL2Uyb0Rv&#10;Yy54bWxQSwECLQAUAAYACAAAACEAomjlvt0AAAAH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3687" w:type="dxa"/>
          </w:tcPr>
          <w:p w:rsidR="00776A28" w:rsidRDefault="00776A28" w:rsidP="00776A2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776A28" w:rsidRDefault="00776A28" w:rsidP="00776A2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776A28" w:rsidRDefault="00776A28" w:rsidP="00776A28">
            <w:pPr>
              <w:pStyle w:val="Header"/>
              <w:ind w:left="336"/>
              <w:jc w:val="center"/>
              <w:rPr>
                <w:sz w:val="12"/>
                <w:szCs w:val="12"/>
                <w:lang w:val="hr-HR"/>
              </w:rPr>
            </w:pPr>
          </w:p>
          <w:p w:rsidR="00776A28" w:rsidRDefault="00776A28" w:rsidP="00776A28">
            <w:pPr>
              <w:pStyle w:val="Header"/>
              <w:ind w:left="177"/>
              <w:jc w:val="center"/>
              <w:rPr>
                <w:sz w:val="14"/>
                <w:szCs w:val="14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Bosnia and Herzegovina</w:t>
            </w:r>
          </w:p>
          <w:p w:rsidR="00776A28" w:rsidRDefault="00776A28" w:rsidP="00776A28">
            <w:pPr>
              <w:pStyle w:val="Header"/>
              <w:ind w:left="177"/>
              <w:jc w:val="center"/>
              <w:rPr>
                <w:rFonts w:ascii="CG Times" w:hAnsi="CG Times"/>
                <w:sz w:val="14"/>
                <w:szCs w:val="14"/>
                <w:lang w:val="hr-HR"/>
              </w:rPr>
            </w:pPr>
            <w:r>
              <w:rPr>
                <w:rFonts w:ascii="CG Times" w:hAnsi="CG Times"/>
                <w:sz w:val="14"/>
                <w:szCs w:val="14"/>
                <w:lang w:val="hr-HR"/>
              </w:rPr>
              <w:t>FEDERATION OF BOSNIA AND HERZEGOVINA</w:t>
            </w:r>
          </w:p>
          <w:p w:rsidR="00776A28" w:rsidRDefault="00776A28" w:rsidP="00776A28">
            <w:pPr>
              <w:pStyle w:val="Header"/>
              <w:ind w:left="177"/>
              <w:jc w:val="center"/>
              <w:rPr>
                <w:lang w:val="hr-HR"/>
              </w:rPr>
            </w:pPr>
            <w:r>
              <w:rPr>
                <w:rFonts w:ascii="Clarendon Condensed" w:hAnsi="Clarendon Condensed"/>
                <w:sz w:val="14"/>
                <w:szCs w:val="14"/>
                <w:lang w:val="hr-HR"/>
              </w:rPr>
              <w:t>FEDERAL MINISTRY OF THE WAR VETERANS</w:t>
            </w:r>
          </w:p>
        </w:tc>
        <w:tc>
          <w:tcPr>
            <w:tcW w:w="4254" w:type="dxa"/>
          </w:tcPr>
          <w:p w:rsidR="00776A28" w:rsidRDefault="00776A28" w:rsidP="00776A28">
            <w:pPr>
              <w:pStyle w:val="Header"/>
              <w:spacing w:before="60"/>
              <w:ind w:right="35"/>
              <w:jc w:val="center"/>
              <w:rPr>
                <w:rFonts w:ascii="Arial Cirilica" w:hAnsi="Arial Cirilica"/>
                <w:lang w:val="hr-HR"/>
              </w:rPr>
            </w:pPr>
          </w:p>
          <w:p w:rsidR="00776A28" w:rsidRDefault="00776A28" w:rsidP="00776A28">
            <w:pPr>
              <w:pStyle w:val="Header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Bosna i Hercegovina</w:t>
            </w:r>
          </w:p>
          <w:p w:rsidR="00776A28" w:rsidRDefault="00776A28" w:rsidP="00776A28">
            <w:pPr>
              <w:pStyle w:val="Header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FEDERACIJA BOSNE I HERCEGOVINE</w:t>
            </w:r>
          </w:p>
          <w:p w:rsidR="00776A28" w:rsidRDefault="00776A28" w:rsidP="00776A28">
            <w:pPr>
              <w:pStyle w:val="Header"/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FEDERALNO MINISTARSTVO ZA PITANJA</w:t>
            </w:r>
          </w:p>
          <w:p w:rsidR="00776A28" w:rsidRDefault="00776A28" w:rsidP="00776A28">
            <w:pPr>
              <w:jc w:val="center"/>
              <w:rPr>
                <w:rFonts w:ascii="Arial Cirilica" w:hAnsi="Arial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BORACA I INVALIDA ODBRAMBENO</w:t>
            </w:r>
          </w:p>
          <w:p w:rsidR="00776A28" w:rsidRDefault="00776A28" w:rsidP="00776A28">
            <w:pPr>
              <w:pStyle w:val="Header"/>
              <w:jc w:val="center"/>
              <w:rPr>
                <w:rFonts w:ascii="Memorandum Cirilica" w:hAnsi="Memorandum Cirilica"/>
                <w:sz w:val="14"/>
                <w:szCs w:val="14"/>
                <w:lang w:val="hr-HR"/>
              </w:rPr>
            </w:pPr>
            <w:r>
              <w:rPr>
                <w:rFonts w:ascii="Arial Cirilica" w:hAnsi="Arial Cirilica"/>
                <w:sz w:val="14"/>
                <w:szCs w:val="14"/>
                <w:lang w:val="hr-HR"/>
              </w:rPr>
              <w:t>OSLOBODILA</w:t>
            </w:r>
            <w:r>
              <w:rPr>
                <w:sz w:val="16"/>
                <w:szCs w:val="16"/>
              </w:rPr>
              <w:t>ч</w:t>
            </w:r>
            <w:r>
              <w:rPr>
                <w:rFonts w:ascii="Arial Cirilica" w:hAnsi="Arial Cirilica"/>
                <w:sz w:val="14"/>
                <w:szCs w:val="14"/>
                <w:lang w:val="hr-HR"/>
              </w:rPr>
              <w:t>KOG RATA</w:t>
            </w:r>
          </w:p>
          <w:p w:rsidR="00776A28" w:rsidRDefault="00776A28" w:rsidP="00776A28">
            <w:pPr>
              <w:pStyle w:val="Header"/>
              <w:spacing w:line="400" w:lineRule="atLeast"/>
              <w:jc w:val="center"/>
              <w:rPr>
                <w:b/>
                <w:lang w:val="hr-HR"/>
              </w:rPr>
            </w:pPr>
          </w:p>
        </w:tc>
      </w:tr>
    </w:tbl>
    <w:p w:rsidR="00776A28" w:rsidRPr="00170853" w:rsidRDefault="00146226" w:rsidP="00776A28">
      <w:pPr>
        <w:tabs>
          <w:tab w:val="center" w:pos="5269"/>
          <w:tab w:val="left" w:pos="7503"/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776A28">
      <w:pPr>
        <w:tabs>
          <w:tab w:val="center" w:pos="5269"/>
          <w:tab w:val="left" w:pos="7503"/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346DD3">
        <w:rPr>
          <w:rFonts w:ascii="Arial" w:hAnsi="Arial" w:cs="Arial"/>
          <w:b/>
          <w:sz w:val="32"/>
          <w:szCs w:val="32"/>
        </w:rPr>
        <w:t>JANUAR-MART</w:t>
      </w:r>
      <w:r w:rsidR="00A618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346DD3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 invalidske zaštite „Službene novine Federacije Bosne i Hercegovine“ broj: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D57559">
        <w:rPr>
          <w:rFonts w:ascii="Arial" w:hAnsi="Arial" w:cs="Arial"/>
          <w:b/>
          <w:sz w:val="24"/>
          <w:szCs w:val="24"/>
        </w:rPr>
        <w:t>4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346DD3">
        <w:rPr>
          <w:rFonts w:ascii="Arial" w:hAnsi="Arial" w:cs="Arial"/>
          <w:b/>
          <w:sz w:val="24"/>
          <w:szCs w:val="24"/>
        </w:rPr>
        <w:t xml:space="preserve"> </w:t>
      </w:r>
      <w:r w:rsidR="00776A28">
        <w:rPr>
          <w:rFonts w:ascii="Arial" w:hAnsi="Arial" w:cs="Arial"/>
          <w:b/>
          <w:sz w:val="24"/>
          <w:szCs w:val="24"/>
        </w:rPr>
        <w:t>2545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A6180D">
        <w:rPr>
          <w:rFonts w:ascii="Arial" w:hAnsi="Arial" w:cs="Arial"/>
          <w:b/>
          <w:sz w:val="24"/>
          <w:szCs w:val="24"/>
        </w:rPr>
        <w:t>7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A6180D">
        <w:rPr>
          <w:rFonts w:ascii="Arial" w:hAnsi="Arial" w:cs="Arial"/>
          <w:b/>
          <w:sz w:val="24"/>
          <w:szCs w:val="24"/>
        </w:rPr>
        <w:t xml:space="preserve"> </w:t>
      </w:r>
      <w:r w:rsidR="00346DD3">
        <w:rPr>
          <w:rFonts w:ascii="Arial" w:hAnsi="Arial" w:cs="Arial"/>
          <w:b/>
          <w:sz w:val="24"/>
          <w:szCs w:val="24"/>
        </w:rPr>
        <w:t>maj</w:t>
      </w:r>
      <w:r w:rsidR="00A6180D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A6180D">
        <w:rPr>
          <w:rFonts w:ascii="Arial" w:hAnsi="Arial" w:cs="Arial"/>
          <w:b/>
          <w:sz w:val="24"/>
          <w:szCs w:val="24"/>
        </w:rPr>
        <w:t>7</w:t>
      </w:r>
      <w:r w:rsidRPr="00170853">
        <w:rPr>
          <w:rFonts w:ascii="Arial" w:hAnsi="Arial" w:cs="Arial"/>
          <w:b/>
          <w:sz w:val="24"/>
          <w:szCs w:val="24"/>
        </w:rPr>
        <w:t>. godine</w:t>
      </w:r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346DD3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januar-mart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C02A14" w:rsidRPr="00C02A14" w:rsidRDefault="00CE0E8A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346DD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januar-mart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zbirno do 3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346DD3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 dostavljenih zapisnika revizorskih timova Grupi za administrativno-tehničku podršku reviziji od početka revizije do 3</w:t>
            </w:r>
            <w:r w:rsidR="00A6180D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346DD3">
              <w:rPr>
                <w:rFonts w:ascii="Arial" w:hAnsi="Arial" w:cs="Arial"/>
                <w:sz w:val="24"/>
                <w:szCs w:val="24"/>
              </w:rPr>
              <w:t>3.</w:t>
            </w:r>
            <w:r w:rsidRPr="00C02A14">
              <w:rPr>
                <w:rFonts w:ascii="Arial" w:hAnsi="Arial" w:cs="Arial"/>
                <w:sz w:val="24"/>
                <w:szCs w:val="24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346DD3">
              <w:rPr>
                <w:rFonts w:ascii="Arial" w:hAnsi="Arial" w:cs="Arial"/>
                <w:sz w:val="24"/>
                <w:szCs w:val="24"/>
              </w:rPr>
              <w:t>januar-mart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. godine i ukupno od početka revizije do kraja 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kvartala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2.2.04. Pokazatelji o II i III fazi revizije za I kvartal 201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 i ukupno od početka revizije do 3</w:t>
            </w:r>
            <w:r w:rsidR="00A6180D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346DD3">
              <w:rPr>
                <w:rFonts w:ascii="Arial" w:hAnsi="Arial" w:cs="Arial"/>
                <w:sz w:val="24"/>
                <w:szCs w:val="24"/>
              </w:rPr>
              <w:t>3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="00346DD3">
              <w:rPr>
                <w:rFonts w:ascii="Arial" w:hAnsi="Arial" w:cs="Arial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sz w:val="24"/>
                <w:szCs w:val="24"/>
              </w:rPr>
              <w:t>. godine. (podaci od Sektora za upravno rješavanje)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346D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</w:t>
            </w:r>
            <w:r w:rsidR="00346DD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0D6D65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0D6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AE4816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AE4816" w:rsidRPr="00C02A14" w:rsidRDefault="00C02A14" w:rsidP="00346DD3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I kvartal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>201</w:t>
            </w:r>
            <w:r w:rsidR="00346DD3">
              <w:rPr>
                <w:rFonts w:ascii="Arial" w:hAnsi="Arial" w:cs="Arial"/>
                <w:sz w:val="24"/>
                <w:szCs w:val="24"/>
                <w:lang w:val="hr-HR" w:eastAsia="hr-HR"/>
              </w:rPr>
              <w:t>7.godine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0D6D65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0D6D65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E2072D">
        <w:rPr>
          <w:rFonts w:ascii="Arial" w:hAnsi="Arial" w:cs="Arial"/>
          <w:b/>
          <w:sz w:val="24"/>
          <w:szCs w:val="24"/>
        </w:rPr>
        <w:t>JANUAR-MART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E2072D">
        <w:rPr>
          <w:rFonts w:ascii="Arial" w:hAnsi="Arial" w:cs="Arial"/>
          <w:b/>
          <w:sz w:val="24"/>
          <w:szCs w:val="24"/>
        </w:rPr>
        <w:t>7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>invalidske zaštite objavljen je  u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godine</w:t>
      </w:r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ministarstvo)  da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E2072D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E2072D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>sada</w:t>
      </w:r>
      <w:r w:rsidR="00E2072D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E2072D">
        <w:rPr>
          <w:rFonts w:ascii="Arial" w:hAnsi="Arial" w:cs="Arial"/>
          <w:sz w:val="24"/>
          <w:szCs w:val="24"/>
        </w:rPr>
        <w:t>8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DF16E9">
        <w:rPr>
          <w:rFonts w:ascii="Arial" w:hAnsi="Arial" w:cs="Arial"/>
          <w:sz w:val="24"/>
          <w:szCs w:val="24"/>
        </w:rPr>
        <w:t>a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na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 xml:space="preserve">za period </w:t>
      </w:r>
      <w:r w:rsidR="003E5A47">
        <w:rPr>
          <w:rFonts w:ascii="Arial" w:hAnsi="Arial" w:cs="Arial"/>
          <w:sz w:val="24"/>
          <w:szCs w:val="24"/>
        </w:rPr>
        <w:t>1.</w:t>
      </w:r>
      <w:r w:rsidR="00DA71B5">
        <w:rPr>
          <w:rFonts w:ascii="Arial" w:hAnsi="Arial" w:cs="Arial"/>
          <w:sz w:val="24"/>
          <w:szCs w:val="24"/>
        </w:rPr>
        <w:t>1</w:t>
      </w:r>
      <w:r w:rsidR="003E5A4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DA71B5">
        <w:rPr>
          <w:rFonts w:ascii="Arial" w:hAnsi="Arial" w:cs="Arial"/>
          <w:sz w:val="24"/>
          <w:szCs w:val="24"/>
        </w:rPr>
        <w:t>1</w:t>
      </w:r>
      <w:r w:rsidR="009F4780">
        <w:rPr>
          <w:rFonts w:ascii="Arial" w:hAnsi="Arial" w:cs="Arial"/>
          <w:sz w:val="24"/>
          <w:szCs w:val="24"/>
        </w:rPr>
        <w:t>.</w:t>
      </w:r>
      <w:r w:rsidR="00E2072D">
        <w:rPr>
          <w:rFonts w:ascii="Arial" w:hAnsi="Arial" w:cs="Arial"/>
          <w:sz w:val="24"/>
          <w:szCs w:val="24"/>
        </w:rPr>
        <w:t>3</w:t>
      </w:r>
      <w:r w:rsidR="009F4780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9F4780">
        <w:rPr>
          <w:rFonts w:ascii="Arial" w:hAnsi="Arial" w:cs="Arial"/>
          <w:sz w:val="24"/>
          <w:szCs w:val="24"/>
        </w:rPr>
        <w:t xml:space="preserve">. </w:t>
      </w:r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DA71B5">
        <w:rPr>
          <w:rFonts w:ascii="Arial" w:hAnsi="Arial" w:cs="Arial"/>
          <w:sz w:val="24"/>
          <w:szCs w:val="24"/>
        </w:rPr>
        <w:t>1</w:t>
      </w:r>
      <w:r w:rsidR="005113F7">
        <w:rPr>
          <w:rFonts w:ascii="Arial" w:hAnsi="Arial" w:cs="Arial"/>
          <w:sz w:val="24"/>
          <w:szCs w:val="24"/>
        </w:rPr>
        <w:t>.</w:t>
      </w:r>
      <w:r w:rsidR="00E2072D">
        <w:rPr>
          <w:rFonts w:ascii="Arial" w:hAnsi="Arial" w:cs="Arial"/>
          <w:sz w:val="24"/>
          <w:szCs w:val="24"/>
        </w:rPr>
        <w:t>3</w:t>
      </w:r>
      <w:r w:rsidR="005113F7">
        <w:rPr>
          <w:rFonts w:ascii="Arial" w:hAnsi="Arial" w:cs="Arial"/>
          <w:sz w:val="24"/>
          <w:szCs w:val="24"/>
        </w:rPr>
        <w:t>.201</w:t>
      </w:r>
      <w:r w:rsidR="00E2072D">
        <w:rPr>
          <w:rFonts w:ascii="Arial" w:hAnsi="Arial" w:cs="Arial"/>
          <w:sz w:val="24"/>
          <w:szCs w:val="24"/>
        </w:rPr>
        <w:t>7</w:t>
      </w:r>
      <w:r w:rsidR="005113F7">
        <w:rPr>
          <w:rFonts w:ascii="Arial" w:hAnsi="Arial" w:cs="Arial"/>
          <w:sz w:val="24"/>
          <w:szCs w:val="24"/>
        </w:rPr>
        <w:t>. godine</w:t>
      </w:r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B24C01" w:rsidRPr="00D536A8" w:rsidRDefault="00B24C01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3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E2072D">
        <w:rPr>
          <w:rFonts w:ascii="Arial" w:hAnsi="Arial" w:cs="Arial"/>
          <w:color w:val="auto"/>
          <w:sz w:val="24"/>
          <w:szCs w:val="24"/>
        </w:rPr>
        <w:t>januar-mart</w:t>
      </w:r>
      <w:r w:rsidR="00DA71B5">
        <w:rPr>
          <w:rFonts w:ascii="Arial" w:hAnsi="Arial" w:cs="Arial"/>
          <w:color w:val="auto"/>
          <w:sz w:val="24"/>
          <w:szCs w:val="24"/>
        </w:rPr>
        <w:t xml:space="preserve">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E2072D">
        <w:rPr>
          <w:rFonts w:ascii="Arial" w:hAnsi="Arial" w:cs="Arial"/>
          <w:color w:val="auto"/>
          <w:sz w:val="24"/>
          <w:szCs w:val="24"/>
        </w:rPr>
        <w:t>7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291259757"/>
      <w:bookmarkStart w:id="5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 xml:space="preserve">mapredmeta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4"/>
      <w:bookmarkEnd w:id="5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p w:rsidR="004E0487" w:rsidRDefault="004E0487" w:rsidP="004E0487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4E0487" w:rsidRPr="00AA71AC" w:rsidTr="004E0487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4E0487" w:rsidRPr="00AA71AC" w:rsidTr="004E0487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0487" w:rsidRPr="00AA71AC" w:rsidRDefault="004E0487" w:rsidP="004E048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E0487" w:rsidRPr="00AA71AC" w:rsidRDefault="004E0487" w:rsidP="004E048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4E0487" w:rsidRPr="00AA71AC" w:rsidTr="004E0487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E0487" w:rsidRPr="00AA71AC" w:rsidRDefault="004E0487" w:rsidP="004E0487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6939</w:t>
            </w:r>
          </w:p>
        </w:tc>
      </w:tr>
    </w:tbl>
    <w:p w:rsidR="004E0487" w:rsidRDefault="004E0487" w:rsidP="004E0487"/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4E0487">
        <w:rPr>
          <w:rFonts w:ascii="Arial" w:hAnsi="Arial" w:cs="Arial"/>
          <w:sz w:val="24"/>
          <w:szCs w:val="24"/>
        </w:rPr>
        <w:t xml:space="preserve">prvom </w:t>
      </w:r>
      <w:r w:rsidR="004238C0" w:rsidRPr="00C6758C">
        <w:rPr>
          <w:rFonts w:ascii="Arial" w:hAnsi="Arial" w:cs="Arial"/>
          <w:sz w:val="24"/>
          <w:szCs w:val="24"/>
        </w:rPr>
        <w:t>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4E0487">
        <w:rPr>
          <w:rFonts w:ascii="Arial" w:hAnsi="Arial" w:cs="Arial"/>
          <w:sz w:val="24"/>
          <w:szCs w:val="24"/>
        </w:rPr>
        <w:t>7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r w:rsidR="004E0487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r w:rsidR="004E0487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4E0487">
        <w:rPr>
          <w:rFonts w:ascii="Arial" w:hAnsi="Arial" w:cs="Arial"/>
          <w:sz w:val="24"/>
          <w:szCs w:val="24"/>
        </w:rPr>
        <w:t>6939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>Od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A71B5">
        <w:rPr>
          <w:rFonts w:ascii="Arial" w:hAnsi="Arial" w:cs="Arial"/>
          <w:sz w:val="24"/>
          <w:szCs w:val="24"/>
        </w:rPr>
        <w:t>1</w:t>
      </w:r>
      <w:r w:rsidR="004E0487">
        <w:rPr>
          <w:rFonts w:ascii="Arial" w:hAnsi="Arial" w:cs="Arial"/>
          <w:sz w:val="24"/>
          <w:szCs w:val="24"/>
        </w:rPr>
        <w:t>033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E0487">
        <w:rPr>
          <w:rFonts w:ascii="Arial" w:hAnsi="Arial" w:cs="Arial"/>
          <w:sz w:val="24"/>
          <w:szCs w:val="24"/>
        </w:rPr>
        <w:t xml:space="preserve">2662 </w:t>
      </w:r>
      <w:r w:rsidRPr="00C6758C">
        <w:rPr>
          <w:rFonts w:ascii="Arial" w:hAnsi="Arial" w:cs="Arial"/>
          <w:sz w:val="24"/>
          <w:szCs w:val="24"/>
        </w:rPr>
        <w:t>predmet su predmeti korisnika prava na  porodičnu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4E0487">
        <w:rPr>
          <w:rFonts w:ascii="Arial" w:hAnsi="Arial" w:cs="Arial"/>
          <w:sz w:val="24"/>
          <w:szCs w:val="24"/>
        </w:rPr>
        <w:t>2693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E0487">
        <w:rPr>
          <w:rFonts w:ascii="Arial" w:hAnsi="Arial" w:cs="Arial"/>
          <w:sz w:val="24"/>
          <w:szCs w:val="24"/>
        </w:rPr>
        <w:t xml:space="preserve"> 551 </w:t>
      </w:r>
      <w:r>
        <w:rPr>
          <w:rFonts w:ascii="Arial" w:hAnsi="Arial" w:cs="Arial"/>
          <w:sz w:val="24"/>
          <w:szCs w:val="24"/>
        </w:rPr>
        <w:t>predmet su predmeti korisnika prava na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A71B5">
        <w:rPr>
          <w:rFonts w:ascii="Arial" w:hAnsi="Arial" w:cs="Arial"/>
          <w:sz w:val="24"/>
          <w:szCs w:val="24"/>
          <w:lang w:val="bs-Latn-BA"/>
        </w:rPr>
        <w:t>1</w:t>
      </w:r>
      <w:r w:rsidR="004E0487">
        <w:rPr>
          <w:rFonts w:ascii="Arial" w:hAnsi="Arial" w:cs="Arial"/>
          <w:sz w:val="24"/>
          <w:szCs w:val="24"/>
          <w:lang w:val="bs-Latn-BA"/>
        </w:rPr>
        <w:t>030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4E0487" w:rsidRDefault="004E0487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- u 3 predmeta korisnika prava na ličnu invalidninu postupak kontrole okončan nalogom za izdavanje uvjerenja na Obrascu FMB 2,</w:t>
      </w:r>
    </w:p>
    <w:p w:rsidR="00ED2D66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4E0487">
        <w:rPr>
          <w:rFonts w:ascii="Arial" w:hAnsi="Arial" w:cs="Arial"/>
          <w:sz w:val="24"/>
          <w:szCs w:val="24"/>
          <w:lang w:val="bs-Latn-BA"/>
        </w:rPr>
        <w:t>2662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4E0487">
        <w:rPr>
          <w:rFonts w:ascii="Arial" w:hAnsi="Arial" w:cs="Arial"/>
          <w:sz w:val="24"/>
          <w:szCs w:val="24"/>
          <w:lang w:val="bs-Latn-BA"/>
        </w:rPr>
        <w:t>2693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DA71B5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4E0487">
        <w:rPr>
          <w:rFonts w:ascii="Arial" w:hAnsi="Arial" w:cs="Arial"/>
          <w:sz w:val="24"/>
          <w:szCs w:val="24"/>
          <w:lang w:val="bs-Latn-BA"/>
        </w:rPr>
        <w:t>551</w:t>
      </w:r>
      <w:r w:rsidR="00DA71B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predmet</w:t>
      </w:r>
      <w:r w:rsidR="004E0487">
        <w:rPr>
          <w:rFonts w:ascii="Arial" w:hAnsi="Arial" w:cs="Arial"/>
          <w:sz w:val="24"/>
          <w:szCs w:val="24"/>
          <w:lang w:val="bs-Latn-BA"/>
        </w:rPr>
        <w:t>u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4E0487">
        <w:rPr>
          <w:rFonts w:ascii="Arial" w:hAnsi="Arial" w:cs="Arial"/>
          <w:sz w:val="24"/>
          <w:szCs w:val="24"/>
          <w:lang w:val="bs-Latn-BA"/>
        </w:rPr>
        <w:t>.</w:t>
      </w:r>
    </w:p>
    <w:p w:rsidR="000F4F65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predmeta u kojima su revizorski timovi postupak kontrole okončali izdavanjem naloga i broj  timova</w:t>
      </w:r>
      <w:r w:rsidR="00A63449">
        <w:rPr>
          <w:rFonts w:ascii="Arial" w:hAnsi="Arial" w:cs="Arial"/>
          <w:sz w:val="24"/>
          <w:szCs w:val="24"/>
        </w:rPr>
        <w:t xml:space="preserve"> (</w:t>
      </w:r>
      <w:r w:rsidR="004E0487">
        <w:rPr>
          <w:rFonts w:ascii="Arial" w:hAnsi="Arial" w:cs="Arial"/>
          <w:sz w:val="24"/>
          <w:szCs w:val="24"/>
        </w:rPr>
        <w:t>9</w:t>
      </w:r>
      <w:r w:rsidR="00A63449">
        <w:rPr>
          <w:rFonts w:ascii="Arial" w:hAnsi="Arial" w:cs="Arial"/>
          <w:sz w:val="24"/>
          <w:szCs w:val="24"/>
        </w:rPr>
        <w:t>)</w:t>
      </w:r>
      <w:r w:rsidRPr="00C6758C">
        <w:rPr>
          <w:rFonts w:ascii="Arial" w:hAnsi="Arial" w:cs="Arial"/>
          <w:sz w:val="24"/>
          <w:szCs w:val="24"/>
        </w:rPr>
        <w:t xml:space="preserve"> koji je vršio kontrolu dolazi se do prosječnog mjesečnog učinka</w:t>
      </w:r>
      <w:r w:rsidR="004E0487">
        <w:rPr>
          <w:rFonts w:ascii="Arial" w:hAnsi="Arial" w:cs="Arial"/>
          <w:sz w:val="24"/>
          <w:szCs w:val="24"/>
        </w:rPr>
        <w:t xml:space="preserve"> </w:t>
      </w:r>
      <w:r w:rsidR="000F4F65">
        <w:rPr>
          <w:rFonts w:ascii="Arial" w:hAnsi="Arial" w:cs="Arial"/>
          <w:sz w:val="24"/>
          <w:szCs w:val="24"/>
        </w:rPr>
        <w:t xml:space="preserve">od </w:t>
      </w:r>
      <w:r w:rsidR="00A63449">
        <w:rPr>
          <w:rFonts w:ascii="Arial" w:hAnsi="Arial" w:cs="Arial"/>
          <w:sz w:val="24"/>
          <w:szCs w:val="24"/>
        </w:rPr>
        <w:t>2</w:t>
      </w:r>
      <w:r w:rsidR="004E0487">
        <w:rPr>
          <w:rFonts w:ascii="Arial" w:hAnsi="Arial" w:cs="Arial"/>
          <w:sz w:val="24"/>
          <w:szCs w:val="24"/>
        </w:rPr>
        <w:t xml:space="preserve">57 </w:t>
      </w:r>
      <w:r w:rsidR="00467C21">
        <w:rPr>
          <w:rFonts w:ascii="Arial" w:hAnsi="Arial" w:cs="Arial"/>
          <w:sz w:val="24"/>
          <w:szCs w:val="24"/>
        </w:rPr>
        <w:t xml:space="preserve">predmeta </w:t>
      </w:r>
      <w:r w:rsidR="00A63449" w:rsidRPr="00C6758C">
        <w:rPr>
          <w:rFonts w:ascii="Arial" w:hAnsi="Arial" w:cs="Arial"/>
          <w:sz w:val="24"/>
          <w:szCs w:val="24"/>
        </w:rPr>
        <w:t>po revizorskom timu</w:t>
      </w:r>
      <w:r w:rsidR="00A63449">
        <w:rPr>
          <w:rFonts w:ascii="Arial" w:hAnsi="Arial" w:cs="Arial"/>
          <w:sz w:val="24"/>
          <w:szCs w:val="24"/>
        </w:rPr>
        <w:t xml:space="preserve">. </w:t>
      </w: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Tabelarni prikaz sa brojčanim pokazateljima dostavljenih zapisnika revizorskih timova</w:t>
      </w:r>
      <w:r w:rsidR="00346DD3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573A00" w:rsidP="00A63449">
            <w:pPr>
              <w:jc w:val="center"/>
            </w:pPr>
            <w:r>
              <w:t>752</w:t>
            </w:r>
          </w:p>
        </w:tc>
        <w:tc>
          <w:tcPr>
            <w:tcW w:w="761" w:type="dxa"/>
            <w:vAlign w:val="center"/>
          </w:tcPr>
          <w:p w:rsidR="00AE4376" w:rsidRDefault="00573A00" w:rsidP="00A63449">
            <w:pPr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573A00" w:rsidP="00A63449">
            <w:pPr>
              <w:jc w:val="center"/>
            </w:pPr>
            <w:r>
              <w:t>48</w:t>
            </w:r>
          </w:p>
        </w:tc>
        <w:tc>
          <w:tcPr>
            <w:tcW w:w="1036" w:type="dxa"/>
            <w:vAlign w:val="center"/>
          </w:tcPr>
          <w:p w:rsidR="00AE4376" w:rsidRDefault="00573A00" w:rsidP="00A63449">
            <w:pPr>
              <w:jc w:val="center"/>
            </w:pPr>
            <w:r>
              <w:t>807</w:t>
            </w:r>
          </w:p>
        </w:tc>
        <w:tc>
          <w:tcPr>
            <w:tcW w:w="933" w:type="dxa"/>
            <w:vAlign w:val="center"/>
          </w:tcPr>
          <w:p w:rsidR="00AE4376" w:rsidRDefault="00573A00" w:rsidP="00A63449">
            <w:pPr>
              <w:jc w:val="center"/>
            </w:pPr>
            <w:r>
              <w:t>8</w:t>
            </w:r>
          </w:p>
        </w:tc>
        <w:tc>
          <w:tcPr>
            <w:tcW w:w="756" w:type="dxa"/>
            <w:vAlign w:val="center"/>
          </w:tcPr>
          <w:p w:rsidR="00AE4376" w:rsidRDefault="00573A00" w:rsidP="00A63449">
            <w:pPr>
              <w:jc w:val="center"/>
            </w:pPr>
            <w:r>
              <w:t>129</w:t>
            </w:r>
          </w:p>
        </w:tc>
        <w:tc>
          <w:tcPr>
            <w:tcW w:w="1028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A63449">
            <w:pPr>
              <w:jc w:val="center"/>
            </w:pPr>
            <w:r>
              <w:t>944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573A00" w:rsidP="00A63449">
            <w:pPr>
              <w:jc w:val="center"/>
            </w:pPr>
            <w:r>
              <w:t>1200</w:t>
            </w:r>
          </w:p>
        </w:tc>
        <w:tc>
          <w:tcPr>
            <w:tcW w:w="761" w:type="dxa"/>
            <w:vAlign w:val="center"/>
          </w:tcPr>
          <w:p w:rsidR="00AE4376" w:rsidRDefault="00573A00" w:rsidP="00573A00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AE4376" w:rsidRDefault="00573A00" w:rsidP="001D64C0">
            <w:pPr>
              <w:jc w:val="center"/>
            </w:pPr>
            <w:r>
              <w:t>33</w:t>
            </w:r>
          </w:p>
        </w:tc>
        <w:tc>
          <w:tcPr>
            <w:tcW w:w="943" w:type="dxa"/>
            <w:vAlign w:val="center"/>
          </w:tcPr>
          <w:p w:rsidR="00AE4376" w:rsidRDefault="00573A00" w:rsidP="001D64C0">
            <w:pPr>
              <w:jc w:val="center"/>
            </w:pPr>
            <w:r>
              <w:t>38</w:t>
            </w:r>
          </w:p>
        </w:tc>
        <w:tc>
          <w:tcPr>
            <w:tcW w:w="1036" w:type="dxa"/>
            <w:vAlign w:val="center"/>
          </w:tcPr>
          <w:p w:rsidR="00AE4376" w:rsidRDefault="00573A00" w:rsidP="001D64C0">
            <w:pPr>
              <w:jc w:val="center"/>
            </w:pPr>
            <w:r>
              <w:t>1272</w:t>
            </w:r>
          </w:p>
        </w:tc>
        <w:tc>
          <w:tcPr>
            <w:tcW w:w="933" w:type="dxa"/>
            <w:vAlign w:val="center"/>
          </w:tcPr>
          <w:p w:rsidR="00AE4376" w:rsidRDefault="00573A00" w:rsidP="001D64C0">
            <w:pPr>
              <w:jc w:val="center"/>
            </w:pPr>
            <w:r>
              <w:t>3</w:t>
            </w:r>
          </w:p>
        </w:tc>
        <w:tc>
          <w:tcPr>
            <w:tcW w:w="756" w:type="dxa"/>
            <w:vAlign w:val="center"/>
          </w:tcPr>
          <w:p w:rsidR="00AE4376" w:rsidRDefault="00573A00" w:rsidP="001D64C0">
            <w:pPr>
              <w:jc w:val="center"/>
            </w:pPr>
            <w:r>
              <w:t>182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1D64C0">
            <w:pPr>
              <w:jc w:val="center"/>
            </w:pPr>
            <w:r>
              <w:t>1457</w:t>
            </w:r>
          </w:p>
        </w:tc>
        <w:tc>
          <w:tcPr>
            <w:tcW w:w="1022" w:type="dxa"/>
            <w:vAlign w:val="center"/>
          </w:tcPr>
          <w:p w:rsidR="00AE4376" w:rsidRDefault="00573A00" w:rsidP="001D64C0">
            <w:pPr>
              <w:jc w:val="center"/>
            </w:pPr>
            <w:r>
              <w:t>16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573A00" w:rsidP="001D64C0">
            <w:pPr>
              <w:jc w:val="center"/>
            </w:pPr>
            <w:r>
              <w:t>675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573A00" w:rsidP="001D64C0">
            <w:pPr>
              <w:jc w:val="center"/>
            </w:pPr>
            <w:r>
              <w:t>675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573A00" w:rsidP="001D64C0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1D64C0">
            <w:pPr>
              <w:jc w:val="center"/>
            </w:pPr>
            <w:r>
              <w:t>677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573A00" w:rsidP="001D64C0">
            <w:pPr>
              <w:jc w:val="center"/>
            </w:pPr>
            <w:r>
              <w:t>711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573A00" w:rsidP="001D64C0">
            <w:pPr>
              <w:jc w:val="center"/>
            </w:pPr>
            <w:r>
              <w:t>711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1D64C0">
            <w:pPr>
              <w:jc w:val="center"/>
            </w:pPr>
            <w:r>
              <w:t>711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5</w:t>
            </w:r>
          </w:p>
        </w:tc>
        <w:tc>
          <w:tcPr>
            <w:tcW w:w="761" w:type="dxa"/>
            <w:vAlign w:val="center"/>
          </w:tcPr>
          <w:p w:rsidR="00AE4376" w:rsidRDefault="00573A00" w:rsidP="001D64C0">
            <w:pPr>
              <w:jc w:val="center"/>
            </w:pPr>
            <w:r>
              <w:t>789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573A00" w:rsidP="001D64C0">
            <w:pPr>
              <w:jc w:val="center"/>
            </w:pPr>
            <w:r>
              <w:t>15</w:t>
            </w:r>
          </w:p>
        </w:tc>
        <w:tc>
          <w:tcPr>
            <w:tcW w:w="943" w:type="dxa"/>
            <w:vAlign w:val="center"/>
          </w:tcPr>
          <w:p w:rsidR="00AE4376" w:rsidRDefault="00573A00" w:rsidP="001D64C0">
            <w:pPr>
              <w:jc w:val="center"/>
            </w:pPr>
            <w:r>
              <w:t>7</w:t>
            </w:r>
          </w:p>
        </w:tc>
        <w:tc>
          <w:tcPr>
            <w:tcW w:w="1036" w:type="dxa"/>
            <w:vAlign w:val="center"/>
          </w:tcPr>
          <w:p w:rsidR="00AE4376" w:rsidRDefault="00573A00" w:rsidP="001D64C0">
            <w:pPr>
              <w:jc w:val="center"/>
            </w:pPr>
            <w:r>
              <w:t>811</w:t>
            </w:r>
          </w:p>
        </w:tc>
        <w:tc>
          <w:tcPr>
            <w:tcW w:w="933" w:type="dxa"/>
            <w:vAlign w:val="center"/>
          </w:tcPr>
          <w:p w:rsidR="00AE4376" w:rsidRDefault="00573A00" w:rsidP="001D64C0">
            <w:pPr>
              <w:jc w:val="center"/>
            </w:pPr>
            <w:r>
              <w:t>6</w:t>
            </w:r>
          </w:p>
        </w:tc>
        <w:tc>
          <w:tcPr>
            <w:tcW w:w="756" w:type="dxa"/>
            <w:vAlign w:val="center"/>
          </w:tcPr>
          <w:p w:rsidR="00AE4376" w:rsidRDefault="00573A00" w:rsidP="001D64C0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1D64C0">
            <w:pPr>
              <w:jc w:val="center"/>
            </w:pPr>
            <w:r>
              <w:t>890</w:t>
            </w:r>
          </w:p>
        </w:tc>
        <w:tc>
          <w:tcPr>
            <w:tcW w:w="1022" w:type="dxa"/>
            <w:vAlign w:val="center"/>
          </w:tcPr>
          <w:p w:rsidR="00AE4376" w:rsidRDefault="00573A00" w:rsidP="001D64C0">
            <w:pPr>
              <w:jc w:val="center"/>
            </w:pPr>
            <w:r>
              <w:t>94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573A00" w:rsidP="001D64C0">
            <w:pPr>
              <w:jc w:val="center"/>
            </w:pPr>
            <w:r>
              <w:t>599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573A00" w:rsidP="001D64C0">
            <w:pPr>
              <w:jc w:val="center"/>
            </w:pPr>
            <w:r>
              <w:t>60</w:t>
            </w:r>
          </w:p>
        </w:tc>
        <w:tc>
          <w:tcPr>
            <w:tcW w:w="943" w:type="dxa"/>
            <w:vAlign w:val="center"/>
          </w:tcPr>
          <w:p w:rsidR="00AE4376" w:rsidRDefault="00573A00" w:rsidP="001D64C0">
            <w:pPr>
              <w:jc w:val="center"/>
            </w:pPr>
            <w:r>
              <w:t>70</w:t>
            </w:r>
          </w:p>
        </w:tc>
        <w:tc>
          <w:tcPr>
            <w:tcW w:w="1036" w:type="dxa"/>
            <w:vAlign w:val="center"/>
          </w:tcPr>
          <w:p w:rsidR="00AE4376" w:rsidRDefault="00573A00" w:rsidP="001D64C0">
            <w:pPr>
              <w:jc w:val="center"/>
            </w:pPr>
            <w:r>
              <w:t>729</w:t>
            </w:r>
          </w:p>
        </w:tc>
        <w:tc>
          <w:tcPr>
            <w:tcW w:w="933" w:type="dxa"/>
          </w:tcPr>
          <w:p w:rsidR="00AE4376" w:rsidRDefault="00573A00" w:rsidP="001D64C0">
            <w:pPr>
              <w:jc w:val="center"/>
            </w:pPr>
            <w:r>
              <w:t>35</w:t>
            </w: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573A00" w:rsidP="001D64C0">
            <w:pPr>
              <w:jc w:val="center"/>
            </w:pPr>
            <w:r>
              <w:t>764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896DCE" w:rsidRDefault="00896DCE" w:rsidP="00B97BEC">
            <w:r w:rsidRPr="00896DCE">
              <w:t>TIM</w:t>
            </w:r>
            <w:r>
              <w:t xml:space="preserve"> 8</w:t>
            </w:r>
          </w:p>
        </w:tc>
        <w:tc>
          <w:tcPr>
            <w:tcW w:w="761" w:type="dxa"/>
            <w:vAlign w:val="center"/>
          </w:tcPr>
          <w:p w:rsidR="00AE4376" w:rsidRPr="00896DCE" w:rsidRDefault="00573A00" w:rsidP="001D64C0">
            <w:pPr>
              <w:jc w:val="center"/>
            </w:pPr>
            <w:r>
              <w:t>681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AE4376" w:rsidRPr="00896DCE" w:rsidRDefault="00573A00" w:rsidP="001D64C0">
            <w:pPr>
              <w:jc w:val="center"/>
            </w:pPr>
            <w:r>
              <w:t>681</w:t>
            </w:r>
          </w:p>
        </w:tc>
        <w:tc>
          <w:tcPr>
            <w:tcW w:w="93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AE4376" w:rsidRPr="001D64C0" w:rsidRDefault="00573A00" w:rsidP="001D64C0">
            <w:pPr>
              <w:jc w:val="center"/>
            </w:pPr>
            <w:r>
              <w:t>337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896DCE" w:rsidRDefault="00573A00" w:rsidP="001D64C0">
            <w:pPr>
              <w:jc w:val="center"/>
            </w:pPr>
            <w:r>
              <w:t>1018</w:t>
            </w:r>
          </w:p>
        </w:tc>
        <w:tc>
          <w:tcPr>
            <w:tcW w:w="1022" w:type="dxa"/>
            <w:vAlign w:val="center"/>
          </w:tcPr>
          <w:p w:rsidR="00AE4376" w:rsidRPr="00896DCE" w:rsidRDefault="00AE4376" w:rsidP="00B97BEC">
            <w:pPr>
              <w:jc w:val="right"/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 w:rsidRPr="00896DCE">
              <w:t>TIM 9</w:t>
            </w:r>
          </w:p>
        </w:tc>
        <w:tc>
          <w:tcPr>
            <w:tcW w:w="761" w:type="dxa"/>
            <w:vAlign w:val="center"/>
          </w:tcPr>
          <w:p w:rsidR="00896DCE" w:rsidRPr="00896DCE" w:rsidRDefault="00573A00" w:rsidP="001D64C0">
            <w:pPr>
              <w:jc w:val="center"/>
            </w:pPr>
            <w:r>
              <w:t>805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573A00" w:rsidP="001D64C0">
            <w:pPr>
              <w:jc w:val="center"/>
            </w:pPr>
            <w:r>
              <w:t>115</w:t>
            </w:r>
          </w:p>
        </w:tc>
        <w:tc>
          <w:tcPr>
            <w:tcW w:w="943" w:type="dxa"/>
            <w:vAlign w:val="center"/>
          </w:tcPr>
          <w:p w:rsidR="00896DCE" w:rsidRPr="00896DCE" w:rsidRDefault="00573A00" w:rsidP="001D64C0">
            <w:pPr>
              <w:jc w:val="center"/>
            </w:pPr>
            <w:r>
              <w:t>44</w:t>
            </w:r>
          </w:p>
        </w:tc>
        <w:tc>
          <w:tcPr>
            <w:tcW w:w="1036" w:type="dxa"/>
            <w:vAlign w:val="center"/>
          </w:tcPr>
          <w:p w:rsidR="00896DCE" w:rsidRPr="00896DCE" w:rsidRDefault="00573A00" w:rsidP="001D64C0">
            <w:pPr>
              <w:jc w:val="center"/>
            </w:pPr>
            <w:r>
              <w:t>964</w:t>
            </w:r>
          </w:p>
        </w:tc>
        <w:tc>
          <w:tcPr>
            <w:tcW w:w="933" w:type="dxa"/>
            <w:vAlign w:val="center"/>
          </w:tcPr>
          <w:p w:rsidR="00896DCE" w:rsidRPr="00573A00" w:rsidRDefault="00573A00" w:rsidP="001D64C0">
            <w:pPr>
              <w:jc w:val="center"/>
            </w:pPr>
            <w:r w:rsidRPr="00573A00">
              <w:t>17</w:t>
            </w:r>
          </w:p>
        </w:tc>
        <w:tc>
          <w:tcPr>
            <w:tcW w:w="756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028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896DCE" w:rsidRDefault="00573A00" w:rsidP="001D64C0">
            <w:pPr>
              <w:jc w:val="center"/>
            </w:pPr>
            <w:r>
              <w:t>981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>
              <w:t>TIM 10</w:t>
            </w:r>
          </w:p>
        </w:tc>
        <w:tc>
          <w:tcPr>
            <w:tcW w:w="761" w:type="dxa"/>
            <w:vAlign w:val="center"/>
          </w:tcPr>
          <w:p w:rsidR="00896DCE" w:rsidRPr="00C87AF8" w:rsidRDefault="00573A00" w:rsidP="001D64C0">
            <w:pPr>
              <w:jc w:val="center"/>
            </w:pPr>
            <w:r>
              <w:t>640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573A00" w:rsidP="001D64C0">
            <w:pPr>
              <w:jc w:val="center"/>
            </w:pPr>
            <w:r>
              <w:t>2</w:t>
            </w:r>
          </w:p>
        </w:tc>
        <w:tc>
          <w:tcPr>
            <w:tcW w:w="943" w:type="dxa"/>
            <w:vAlign w:val="center"/>
          </w:tcPr>
          <w:p w:rsidR="00896DCE" w:rsidRPr="001D64C0" w:rsidRDefault="00573A00" w:rsidP="001D64C0">
            <w:pPr>
              <w:jc w:val="center"/>
            </w:pPr>
            <w:r>
              <w:t>13</w:t>
            </w:r>
          </w:p>
        </w:tc>
        <w:tc>
          <w:tcPr>
            <w:tcW w:w="1036" w:type="dxa"/>
            <w:vAlign w:val="center"/>
          </w:tcPr>
          <w:p w:rsidR="00896DCE" w:rsidRPr="00C87AF8" w:rsidRDefault="00573A00" w:rsidP="001D64C0">
            <w:pPr>
              <w:jc w:val="center"/>
            </w:pPr>
            <w:r>
              <w:t>655</w:t>
            </w: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573A00" w:rsidP="001D64C0">
            <w:pPr>
              <w:jc w:val="center"/>
            </w:pPr>
            <w:r>
              <w:t>114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6DCE" w:rsidRPr="00C87AF8" w:rsidRDefault="00573A00" w:rsidP="001D64C0">
            <w:pPr>
              <w:jc w:val="center"/>
            </w:pPr>
            <w:r>
              <w:t>769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Default="00896DCE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6852</w:t>
            </w:r>
          </w:p>
        </w:tc>
        <w:tc>
          <w:tcPr>
            <w:tcW w:w="761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43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036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7305</w:t>
            </w:r>
          </w:p>
        </w:tc>
        <w:tc>
          <w:tcPr>
            <w:tcW w:w="933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6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837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8211</w:t>
            </w:r>
          </w:p>
        </w:tc>
        <w:tc>
          <w:tcPr>
            <w:tcW w:w="1022" w:type="dxa"/>
            <w:vAlign w:val="center"/>
          </w:tcPr>
          <w:p w:rsidR="00896DCE" w:rsidRPr="001D64C0" w:rsidRDefault="00573A00" w:rsidP="001D64C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573A00">
        <w:rPr>
          <w:rFonts w:ascii="Arial" w:hAnsi="Arial" w:cs="Arial"/>
          <w:sz w:val="24"/>
          <w:szCs w:val="24"/>
        </w:rPr>
        <w:t xml:space="preserve">prvom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A0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066277">
        <w:rPr>
          <w:rFonts w:ascii="Arial" w:hAnsi="Arial" w:cs="Arial"/>
          <w:sz w:val="24"/>
          <w:szCs w:val="24"/>
        </w:rPr>
        <w:t xml:space="preserve"> 8211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6277">
        <w:rPr>
          <w:rFonts w:ascii="Arial" w:hAnsi="Arial" w:cs="Arial"/>
          <w:sz w:val="24"/>
          <w:szCs w:val="24"/>
        </w:rPr>
        <w:t>6852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066277">
        <w:rPr>
          <w:rFonts w:ascii="Arial" w:hAnsi="Arial" w:cs="Arial"/>
          <w:sz w:val="24"/>
          <w:szCs w:val="24"/>
        </w:rPr>
        <w:t>110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C87AF8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234489">
        <w:rPr>
          <w:rFonts w:ascii="Arial" w:hAnsi="Arial" w:cs="Arial"/>
          <w:sz w:val="24"/>
          <w:szCs w:val="24"/>
        </w:rPr>
        <w:t xml:space="preserve"> </w:t>
      </w:r>
      <w:r w:rsidR="00066277">
        <w:rPr>
          <w:rFonts w:ascii="Arial" w:hAnsi="Arial" w:cs="Arial"/>
          <w:sz w:val="24"/>
          <w:szCs w:val="24"/>
        </w:rPr>
        <w:t>8</w:t>
      </w:r>
      <w:r w:rsidR="00234489">
        <w:rPr>
          <w:rFonts w:ascii="Arial" w:hAnsi="Arial" w:cs="Arial"/>
          <w:sz w:val="24"/>
          <w:szCs w:val="24"/>
        </w:rPr>
        <w:t xml:space="preserve"> </w:t>
      </w:r>
      <w:r w:rsidR="00C87AF8" w:rsidRPr="00C6758C">
        <w:rPr>
          <w:rFonts w:ascii="Arial" w:hAnsi="Arial" w:cs="Arial"/>
          <w:sz w:val="24"/>
          <w:szCs w:val="24"/>
        </w:rPr>
        <w:t>zapisnika sa nalogom za izda</w:t>
      </w:r>
      <w:r w:rsidR="00C87AF8">
        <w:rPr>
          <w:rFonts w:ascii="Arial" w:hAnsi="Arial" w:cs="Arial"/>
          <w:sz w:val="24"/>
          <w:szCs w:val="24"/>
        </w:rPr>
        <w:t>vanje uvjerenja na Obrascu FMB 2,</w:t>
      </w:r>
    </w:p>
    <w:p w:rsidR="00234489" w:rsidRDefault="00234489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6277">
        <w:rPr>
          <w:rFonts w:ascii="Arial" w:hAnsi="Arial" w:cs="Arial"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zapisnika u kojim je konstatirano da se radi o mirnodopskim vojnim invalidima,</w:t>
      </w:r>
    </w:p>
    <w:p w:rsidR="002C70AE" w:rsidRPr="00C6758C" w:rsidRDefault="00066277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-220</w:t>
      </w:r>
      <w:r w:rsidR="00C87AF8">
        <w:rPr>
          <w:rFonts w:ascii="Arial" w:hAnsi="Arial" w:cs="Arial"/>
          <w:sz w:val="24"/>
          <w:szCs w:val="24"/>
        </w:rPr>
        <w:t xml:space="preserve"> zapisnika u kojim je konstatirano da je </w:t>
      </w:r>
      <w:r w:rsidR="002C70AE" w:rsidRPr="00C6758C">
        <w:rPr>
          <w:rFonts w:ascii="Arial" w:hAnsi="Arial" w:cs="Arial"/>
          <w:sz w:val="24"/>
          <w:szCs w:val="24"/>
        </w:rPr>
        <w:t>korisnicima prava utvrđen prestanak priznatih prava, te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6277">
        <w:rPr>
          <w:rFonts w:ascii="Arial" w:hAnsi="Arial" w:cs="Arial"/>
          <w:sz w:val="24"/>
          <w:szCs w:val="24"/>
        </w:rPr>
        <w:t>69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6277">
        <w:rPr>
          <w:rFonts w:ascii="Arial" w:hAnsi="Arial" w:cs="Arial"/>
          <w:sz w:val="24"/>
          <w:szCs w:val="24"/>
        </w:rPr>
        <w:t xml:space="preserve">837 </w:t>
      </w:r>
      <w:r w:rsidR="005B3C23" w:rsidRPr="00C6758C">
        <w:rPr>
          <w:rFonts w:ascii="Arial" w:hAnsi="Arial" w:cs="Arial"/>
          <w:sz w:val="24"/>
          <w:szCs w:val="24"/>
        </w:rPr>
        <w:t>zapisnik</w:t>
      </w:r>
      <w:r w:rsidR="00C87AF8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ili radi revizije u kantonalnim ministarstvima - član 41. Zakona o pravima branil</w:t>
      </w:r>
      <w:r w:rsidR="00234489">
        <w:rPr>
          <w:rFonts w:ascii="Arial" w:hAnsi="Arial" w:cs="Arial"/>
          <w:sz w:val="24"/>
          <w:szCs w:val="24"/>
        </w:rPr>
        <w:t xml:space="preserve">aca i članova njihovih porodica, </w:t>
      </w:r>
      <w:r w:rsidR="00066277">
        <w:rPr>
          <w:rFonts w:ascii="Arial" w:hAnsi="Arial" w:cs="Arial"/>
          <w:sz w:val="24"/>
          <w:szCs w:val="24"/>
        </w:rPr>
        <w:t xml:space="preserve">da su izgoreli, </w:t>
      </w:r>
      <w:r w:rsidR="00234489">
        <w:rPr>
          <w:rFonts w:ascii="Arial" w:hAnsi="Arial" w:cs="Arial"/>
          <w:sz w:val="24"/>
          <w:szCs w:val="24"/>
        </w:rPr>
        <w:t xml:space="preserve">da je postupak kontrole okončan ranije od strane nekog od Revizorskih timova zbog čega postupak kontrole nisu </w:t>
      </w:r>
      <w:r w:rsidR="005B3C23" w:rsidRPr="00C6758C">
        <w:rPr>
          <w:rFonts w:ascii="Arial" w:hAnsi="Arial" w:cs="Arial"/>
          <w:sz w:val="24"/>
          <w:szCs w:val="24"/>
        </w:rPr>
        <w:t>okonča</w:t>
      </w:r>
      <w:r w:rsidR="00234489">
        <w:rPr>
          <w:rFonts w:ascii="Arial" w:hAnsi="Arial" w:cs="Arial"/>
          <w:sz w:val="24"/>
          <w:szCs w:val="24"/>
        </w:rPr>
        <w:t>li</w:t>
      </w:r>
      <w:r w:rsidR="005B3C23" w:rsidRPr="00C6758C">
        <w:rPr>
          <w:rFonts w:ascii="Arial" w:hAnsi="Arial" w:cs="Arial"/>
          <w:sz w:val="24"/>
          <w:szCs w:val="24"/>
        </w:rPr>
        <w:t xml:space="preserve">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3E0162" w:rsidRDefault="003E0162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dostavljenih zapisnika revizorskih timova Grupi za administrativno-tehničku podršku reviziji i broj  timova koji je vršio kontrolu dolazi se do prosječnog mjesečnog broja </w:t>
      </w:r>
      <w:r w:rsidR="001C0A5E">
        <w:rPr>
          <w:rFonts w:ascii="Arial" w:hAnsi="Arial" w:cs="Arial"/>
          <w:sz w:val="24"/>
          <w:szCs w:val="24"/>
        </w:rPr>
        <w:t xml:space="preserve">od </w:t>
      </w:r>
      <w:r w:rsidR="00066277">
        <w:rPr>
          <w:rFonts w:ascii="Arial" w:hAnsi="Arial" w:cs="Arial"/>
          <w:sz w:val="24"/>
          <w:szCs w:val="24"/>
        </w:rPr>
        <w:t>304</w:t>
      </w:r>
      <w:r w:rsidR="001C0A5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sačinjen</w:t>
      </w:r>
      <w:r w:rsidR="0006627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zapisnika po revizorskom timu</w:t>
      </w:r>
      <w:r w:rsidR="001C0A5E">
        <w:rPr>
          <w:rFonts w:ascii="Arial" w:hAnsi="Arial" w:cs="Arial"/>
          <w:sz w:val="24"/>
          <w:szCs w:val="24"/>
        </w:rPr>
        <w:t xml:space="preserve">. </w:t>
      </w:r>
    </w:p>
    <w:p w:rsidR="00767F51" w:rsidRDefault="00767F51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</w:t>
      </w:r>
      <w:r w:rsidR="00A62B57">
        <w:rPr>
          <w:rFonts w:ascii="Arial" w:hAnsi="Arial" w:cs="Arial"/>
          <w:sz w:val="24"/>
          <w:szCs w:val="24"/>
        </w:rPr>
        <w:t xml:space="preserve">300 predmeta, </w:t>
      </w:r>
      <w:r w:rsidR="00BD7D09" w:rsidRPr="00C6758C">
        <w:rPr>
          <w:rFonts w:ascii="Arial" w:hAnsi="Arial" w:cs="Arial"/>
          <w:sz w:val="24"/>
          <w:szCs w:val="24"/>
        </w:rPr>
        <w:t>kako bi isti ostvario pravo na isplatu paušala</w:t>
      </w:r>
      <w:r w:rsidR="00CC1854" w:rsidRPr="00C6758C">
        <w:rPr>
          <w:rFonts w:ascii="Arial" w:hAnsi="Arial" w:cs="Arial"/>
          <w:sz w:val="24"/>
          <w:szCs w:val="24"/>
        </w:rPr>
        <w:t xml:space="preserve">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</w:t>
      </w:r>
      <w:r w:rsidR="00A62B57">
        <w:rPr>
          <w:rFonts w:ascii="Arial" w:hAnsi="Arial" w:cs="Arial"/>
          <w:sz w:val="24"/>
          <w:szCs w:val="24"/>
        </w:rPr>
        <w:t xml:space="preserve">svi timovi nisu </w:t>
      </w:r>
      <w:r w:rsidR="003E468E" w:rsidRPr="00C6758C">
        <w:rPr>
          <w:rFonts w:ascii="Arial" w:hAnsi="Arial" w:cs="Arial"/>
          <w:sz w:val="24"/>
          <w:szCs w:val="24"/>
        </w:rPr>
        <w:t xml:space="preserve">ispunili </w:t>
      </w:r>
      <w:r w:rsidR="00BD7D09" w:rsidRPr="00C6758C">
        <w:rPr>
          <w:rFonts w:ascii="Arial" w:hAnsi="Arial" w:cs="Arial"/>
          <w:sz w:val="24"/>
          <w:szCs w:val="24"/>
        </w:rPr>
        <w:t>propisan</w:t>
      </w:r>
      <w:r w:rsidR="00066277">
        <w:rPr>
          <w:rFonts w:ascii="Arial" w:hAnsi="Arial" w:cs="Arial"/>
          <w:sz w:val="24"/>
          <w:szCs w:val="24"/>
        </w:rPr>
        <w:t>u</w:t>
      </w:r>
      <w:r w:rsidR="00BD7D09" w:rsidRPr="00C6758C">
        <w:rPr>
          <w:rFonts w:ascii="Arial" w:hAnsi="Arial" w:cs="Arial"/>
          <w:sz w:val="24"/>
          <w:szCs w:val="24"/>
        </w:rPr>
        <w:t xml:space="preserve">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066277">
        <w:rPr>
          <w:rFonts w:ascii="Arial" w:hAnsi="Arial" w:cs="Arial"/>
          <w:sz w:val="24"/>
          <w:szCs w:val="24"/>
        </w:rPr>
        <w:t>u</w:t>
      </w:r>
      <w:r w:rsidR="00BD7D09" w:rsidRPr="00C6758C">
        <w:rPr>
          <w:rFonts w:ascii="Arial" w:hAnsi="Arial" w:cs="Arial"/>
          <w:sz w:val="24"/>
          <w:szCs w:val="24"/>
        </w:rPr>
        <w:t xml:space="preserve">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</w:t>
      </w:r>
      <w:r w:rsidR="00A62B57">
        <w:rPr>
          <w:rFonts w:ascii="Arial" w:hAnsi="Arial" w:cs="Arial"/>
          <w:sz w:val="24"/>
          <w:szCs w:val="24"/>
        </w:rPr>
        <w:t xml:space="preserve">, </w:t>
      </w:r>
      <w:r w:rsidR="00C022E5">
        <w:rPr>
          <w:rFonts w:ascii="Arial" w:hAnsi="Arial" w:cs="Arial"/>
          <w:sz w:val="24"/>
          <w:szCs w:val="24"/>
        </w:rPr>
        <w:t>nakon čega je ministar u skladu sa tačkom V Odluke o osiguranju kadrovskih i materijalnih pretpostavki za provođenje Zakona o provođenju kontrole zakonitosti korištenja prava iz oblasti boračko-invalidske zaštite (“Službene novine FBiH”, broj: 70/16)</w:t>
      </w:r>
      <w:r w:rsidR="001C0A5E">
        <w:rPr>
          <w:rFonts w:ascii="Arial" w:hAnsi="Arial" w:cs="Arial"/>
          <w:sz w:val="24"/>
          <w:szCs w:val="24"/>
        </w:rPr>
        <w:t xml:space="preserve">, na obrazloženi prijedlog Revizorskog tima za koordinaciju </w:t>
      </w:r>
      <w:r w:rsidR="00C022E5">
        <w:rPr>
          <w:rFonts w:ascii="Arial" w:hAnsi="Arial" w:cs="Arial"/>
          <w:sz w:val="24"/>
          <w:szCs w:val="24"/>
        </w:rPr>
        <w:t xml:space="preserve">donio odluku da se istim odobrava isplata paušala. </w:t>
      </w: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78152495"/>
      <w:bookmarkStart w:id="7" w:name="_Toc384626256"/>
      <w:bookmarkStart w:id="8" w:name="_Toc384626405"/>
      <w:bookmarkStart w:id="9" w:name="_Toc384640240"/>
      <w:bookmarkStart w:id="10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6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r w:rsidR="001C0A5E">
        <w:rPr>
          <w:rFonts w:ascii="Arial" w:hAnsi="Arial" w:cs="Arial"/>
          <w:color w:val="auto"/>
          <w:sz w:val="24"/>
          <w:szCs w:val="24"/>
        </w:rPr>
        <w:t xml:space="preserve"> </w:t>
      </w:r>
      <w:r w:rsidR="00E023DF">
        <w:rPr>
          <w:rFonts w:ascii="Arial" w:hAnsi="Arial" w:cs="Arial"/>
          <w:color w:val="auto"/>
          <w:sz w:val="24"/>
          <w:szCs w:val="24"/>
        </w:rPr>
        <w:t>januar-mart</w:t>
      </w:r>
      <w:bookmarkEnd w:id="7"/>
      <w:bookmarkEnd w:id="8"/>
      <w:bookmarkEnd w:id="9"/>
      <w:bookmarkEnd w:id="10"/>
      <w:r w:rsidR="00E023DF">
        <w:rPr>
          <w:rFonts w:ascii="Arial" w:hAnsi="Arial" w:cs="Arial"/>
          <w:color w:val="auto"/>
          <w:sz w:val="24"/>
          <w:szCs w:val="24"/>
        </w:rPr>
        <w:t xml:space="preserve"> </w:t>
      </w:r>
      <w:r w:rsidR="00132199">
        <w:rPr>
          <w:rFonts w:ascii="Arial" w:hAnsi="Arial" w:cs="Arial"/>
          <w:color w:val="auto"/>
          <w:sz w:val="24"/>
          <w:szCs w:val="24"/>
        </w:rPr>
        <w:t>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132199">
        <w:rPr>
          <w:rFonts w:ascii="Arial" w:hAnsi="Arial" w:cs="Arial"/>
          <w:color w:val="auto"/>
          <w:sz w:val="24"/>
          <w:szCs w:val="24"/>
        </w:rPr>
        <w:t xml:space="preserve">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1C0A5E">
        <w:rPr>
          <w:rFonts w:ascii="Arial" w:hAnsi="Arial" w:cs="Arial"/>
          <w:color w:val="auto"/>
          <w:sz w:val="24"/>
          <w:szCs w:val="24"/>
        </w:rPr>
        <w:t>1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E023DF">
        <w:rPr>
          <w:rFonts w:ascii="Arial" w:hAnsi="Arial" w:cs="Arial"/>
          <w:color w:val="auto"/>
          <w:sz w:val="24"/>
          <w:szCs w:val="24"/>
        </w:rPr>
        <w:t>3</w:t>
      </w:r>
      <w:r w:rsidR="00E7638C">
        <w:rPr>
          <w:rFonts w:ascii="Arial" w:hAnsi="Arial" w:cs="Arial"/>
          <w:color w:val="auto"/>
          <w:sz w:val="24"/>
          <w:szCs w:val="24"/>
        </w:rPr>
        <w:t>.201</w:t>
      </w:r>
      <w:r w:rsidR="00E023DF">
        <w:rPr>
          <w:rFonts w:ascii="Arial" w:hAnsi="Arial" w:cs="Arial"/>
          <w:color w:val="auto"/>
          <w:sz w:val="24"/>
          <w:szCs w:val="24"/>
        </w:rPr>
        <w:t>7</w:t>
      </w:r>
      <w:r w:rsidR="00E7638C">
        <w:rPr>
          <w:rFonts w:ascii="Arial" w:hAnsi="Arial" w:cs="Arial"/>
          <w:color w:val="auto"/>
          <w:sz w:val="24"/>
          <w:szCs w:val="24"/>
        </w:rPr>
        <w:t>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1C0A5E" w:rsidRPr="005113F7" w:rsidRDefault="001C0A5E" w:rsidP="00C542EF">
      <w:pPr>
        <w:spacing w:after="0" w:line="240" w:lineRule="auto"/>
        <w:rPr>
          <w:lang w:val="hr-HR" w:eastAsia="hr-HR"/>
        </w:rPr>
      </w:pPr>
    </w:p>
    <w:p w:rsidR="00776A28" w:rsidRDefault="00776A28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C0A5E" w:rsidRDefault="001C0A5E" w:rsidP="00C7529D">
      <w:pPr>
        <w:jc w:val="center"/>
        <w:rPr>
          <w:lang w:val="hr-BA" w:eastAsia="hr-HR"/>
        </w:rPr>
      </w:pPr>
    </w:p>
    <w:p w:rsidR="00634E86" w:rsidRDefault="00634E86" w:rsidP="00634E86"/>
    <w:tbl>
      <w:tblPr>
        <w:tblW w:w="14220" w:type="dxa"/>
        <w:tblLook w:val="04A0" w:firstRow="1" w:lastRow="0" w:firstColumn="1" w:lastColumn="0" w:noHBand="0" w:noVBand="1"/>
      </w:tblPr>
      <w:tblGrid>
        <w:gridCol w:w="1716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980"/>
      </w:tblGrid>
      <w:tr w:rsidR="00634E86" w:rsidRPr="00AA71AC" w:rsidTr="00634E86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634E86" w:rsidRPr="00AA71AC" w:rsidTr="00634E86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218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135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86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147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309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71</w:t>
            </w:r>
          </w:p>
        </w:tc>
      </w:tr>
      <w:tr w:rsidR="00634E86" w:rsidRPr="00AA71AC" w:rsidTr="00634E8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1107</w:t>
            </w:r>
          </w:p>
        </w:tc>
      </w:tr>
    </w:tbl>
    <w:p w:rsidR="00634E86" w:rsidRDefault="00634E86" w:rsidP="00634E86"/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634E86">
        <w:rPr>
          <w:rFonts w:ascii="Arial" w:hAnsi="Arial" w:cs="Arial"/>
          <w:sz w:val="24"/>
          <w:szCs w:val="24"/>
        </w:rPr>
        <w:t xml:space="preserve">prvom kvartalu </w:t>
      </w:r>
      <w:r w:rsidRPr="00C6758C">
        <w:rPr>
          <w:rFonts w:ascii="Arial" w:hAnsi="Arial" w:cs="Arial"/>
          <w:sz w:val="24"/>
          <w:szCs w:val="24"/>
        </w:rPr>
        <w:t>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634E86">
        <w:rPr>
          <w:rFonts w:ascii="Arial" w:hAnsi="Arial" w:cs="Arial"/>
          <w:sz w:val="24"/>
          <w:szCs w:val="24"/>
        </w:rPr>
        <w:t>1107</w:t>
      </w:r>
      <w:r w:rsidR="001C0A5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55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689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4C72AD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299</w:t>
      </w:r>
      <w:r w:rsidR="004C72AD">
        <w:rPr>
          <w:rFonts w:ascii="Arial" w:hAnsi="Arial" w:cs="Arial"/>
          <w:sz w:val="24"/>
          <w:szCs w:val="24"/>
        </w:rPr>
        <w:t xml:space="preserve"> predmet</w:t>
      </w:r>
      <w:r w:rsidR="00634E86">
        <w:rPr>
          <w:rFonts w:ascii="Arial" w:hAnsi="Arial" w:cs="Arial"/>
          <w:sz w:val="24"/>
          <w:szCs w:val="24"/>
        </w:rPr>
        <w:t>a</w:t>
      </w:r>
      <w:r w:rsidR="004C72AD">
        <w:rPr>
          <w:rFonts w:ascii="Arial" w:hAnsi="Arial" w:cs="Arial"/>
          <w:sz w:val="24"/>
          <w:szCs w:val="24"/>
        </w:rPr>
        <w:t xml:space="preserve"> su </w:t>
      </w:r>
      <w:r w:rsidR="0013446C">
        <w:rPr>
          <w:rFonts w:ascii="Arial" w:hAnsi="Arial" w:cs="Arial"/>
          <w:sz w:val="24"/>
          <w:szCs w:val="24"/>
        </w:rPr>
        <w:t xml:space="preserve">predmeti korisnika </w:t>
      </w:r>
      <w:r>
        <w:rPr>
          <w:rFonts w:ascii="Arial" w:hAnsi="Arial" w:cs="Arial"/>
          <w:sz w:val="24"/>
          <w:szCs w:val="24"/>
        </w:rPr>
        <w:t>prava na penziju ostvarenu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9D61B6" w:rsidRDefault="004C72AD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64</w:t>
      </w:r>
      <w:r w:rsidR="001C0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13446C">
        <w:rPr>
          <w:rFonts w:ascii="Arial" w:hAnsi="Arial" w:cs="Arial"/>
          <w:sz w:val="24"/>
          <w:szCs w:val="24"/>
        </w:rPr>
        <w:t xml:space="preserve">a su predmeti </w:t>
      </w:r>
      <w:r>
        <w:rPr>
          <w:rFonts w:ascii="Arial" w:hAnsi="Arial" w:cs="Arial"/>
          <w:sz w:val="24"/>
          <w:szCs w:val="24"/>
        </w:rPr>
        <w:t>korisnika prava na mjesečni novčani dodatak</w:t>
      </w:r>
      <w:r w:rsidR="009D61B6">
        <w:rPr>
          <w:rFonts w:ascii="Arial" w:hAnsi="Arial" w:cs="Arial"/>
          <w:sz w:val="24"/>
          <w:szCs w:val="24"/>
        </w:rPr>
        <w:t>.</w:t>
      </w: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 w:rsidR="0013446C"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 w:rsidR="009604E9">
        <w:rPr>
          <w:rFonts w:ascii="Arial" w:hAnsi="Arial" w:cs="Arial"/>
          <w:sz w:val="24"/>
          <w:szCs w:val="24"/>
          <w:lang w:val="bs-Latn-BA"/>
        </w:rPr>
        <w:t>.</w:t>
      </w: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97BE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2"/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1"/>
    </w:p>
    <w:p w:rsidR="00634E86" w:rsidRDefault="00634E86" w:rsidP="00634E86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634E86" w:rsidRPr="00AA71AC" w:rsidTr="00634E86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634E86" w:rsidRPr="00AA71AC" w:rsidTr="00634E86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Ured kantona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379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564</w:t>
            </w:r>
          </w:p>
        </w:tc>
      </w:tr>
    </w:tbl>
    <w:p w:rsidR="00634E86" w:rsidRDefault="00634E86" w:rsidP="00634E86"/>
    <w:p w:rsidR="009604E9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634E86">
        <w:rPr>
          <w:rFonts w:ascii="Arial" w:hAnsi="Arial" w:cs="Arial"/>
          <w:sz w:val="24"/>
          <w:szCs w:val="24"/>
        </w:rPr>
        <w:t xml:space="preserve">prvom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</w:t>
      </w:r>
      <w:r w:rsidR="009604E9">
        <w:rPr>
          <w:rFonts w:ascii="Arial" w:hAnsi="Arial" w:cs="Arial"/>
          <w:sz w:val="24"/>
          <w:szCs w:val="24"/>
        </w:rPr>
        <w:t xml:space="preserve">ukupno </w:t>
      </w:r>
      <w:r w:rsidR="00634E86">
        <w:rPr>
          <w:rFonts w:ascii="Arial" w:hAnsi="Arial" w:cs="Arial"/>
          <w:sz w:val="24"/>
          <w:szCs w:val="24"/>
        </w:rPr>
        <w:t>564</w:t>
      </w:r>
      <w:r w:rsidR="009604E9">
        <w:rPr>
          <w:rFonts w:ascii="Arial" w:hAnsi="Arial" w:cs="Arial"/>
          <w:sz w:val="24"/>
          <w:szCs w:val="24"/>
        </w:rPr>
        <w:t xml:space="preserve"> predmeta.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4</w:t>
      </w:r>
      <w:r w:rsidR="00634E86">
        <w:rPr>
          <w:rFonts w:ascii="Arial" w:hAnsi="Arial" w:cs="Arial"/>
          <w:sz w:val="24"/>
          <w:szCs w:val="24"/>
        </w:rPr>
        <w:t>58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50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634E86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634E86">
        <w:rPr>
          <w:rFonts w:ascii="Arial" w:hAnsi="Arial" w:cs="Arial"/>
          <w:sz w:val="24"/>
          <w:szCs w:val="24"/>
        </w:rPr>
        <w:t xml:space="preserve">predmeta su predmeti korisnika prava na penziju ostvarenu pod povoljnijim uvjetima </w:t>
      </w:r>
    </w:p>
    <w:p w:rsidR="009604E9" w:rsidRDefault="00634E86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- 52 </w:t>
      </w:r>
      <w:r w:rsidR="009604E9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9604E9">
        <w:rPr>
          <w:rFonts w:ascii="Arial" w:hAnsi="Arial" w:cs="Arial"/>
          <w:sz w:val="24"/>
          <w:szCs w:val="24"/>
        </w:rPr>
        <w:t xml:space="preserve">  su predmeti korisnika prava na mjesečni novčani dodatak.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3"/>
    </w:p>
    <w:p w:rsidR="00776A28" w:rsidRPr="00776A28" w:rsidRDefault="00776A28" w:rsidP="00776A28">
      <w:pPr>
        <w:rPr>
          <w:lang w:val="hr-BA" w:eastAsia="hr-HR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Pr="00776A28" w:rsidRDefault="00776A28" w:rsidP="00776A28">
      <w:pPr>
        <w:rPr>
          <w:lang w:val="hr-BA" w:eastAsia="hr-HR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776A28">
      <w:pPr>
        <w:rPr>
          <w:lang w:val="hr-BA" w:eastAsia="hr-HR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2"/>
    </w:p>
    <w:p w:rsidR="00634E86" w:rsidRDefault="00634E86" w:rsidP="00634E86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634E86" w:rsidRPr="00AA71AC" w:rsidTr="00634E86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634E86" w:rsidRPr="00AA71AC" w:rsidTr="00634E86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111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108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72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351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907</w:t>
            </w:r>
          </w:p>
        </w:tc>
      </w:tr>
    </w:tbl>
    <w:p w:rsidR="00634E86" w:rsidRDefault="00634E86" w:rsidP="00634E86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634E86">
        <w:rPr>
          <w:rFonts w:ascii="Arial" w:hAnsi="Arial" w:cs="Arial"/>
          <w:sz w:val="24"/>
          <w:szCs w:val="24"/>
        </w:rPr>
        <w:t>prvom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634E86">
        <w:rPr>
          <w:rFonts w:ascii="Arial" w:hAnsi="Arial" w:cs="Arial"/>
          <w:sz w:val="24"/>
          <w:szCs w:val="24"/>
        </w:rPr>
        <w:t>907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41</w:t>
      </w:r>
      <w:r w:rsidRPr="00C6758C">
        <w:rPr>
          <w:rFonts w:ascii="Arial" w:hAnsi="Arial" w:cs="Arial"/>
          <w:sz w:val="24"/>
          <w:szCs w:val="24"/>
        </w:rPr>
        <w:t xml:space="preserve"> predmet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="00634E86">
        <w:rPr>
          <w:rFonts w:ascii="Arial" w:hAnsi="Arial" w:cs="Arial"/>
          <w:sz w:val="24"/>
          <w:szCs w:val="24"/>
        </w:rPr>
        <w:t>579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7215">
        <w:rPr>
          <w:rFonts w:ascii="Arial" w:hAnsi="Arial" w:cs="Arial"/>
          <w:sz w:val="24"/>
          <w:szCs w:val="24"/>
        </w:rPr>
        <w:t>a</w:t>
      </w:r>
      <w:r w:rsidR="00634E86">
        <w:rPr>
          <w:rFonts w:ascii="Arial" w:hAnsi="Arial" w:cs="Arial"/>
          <w:sz w:val="24"/>
          <w:szCs w:val="24"/>
        </w:rPr>
        <w:t xml:space="preserve"> </w:t>
      </w:r>
      <w:r w:rsidR="005D7215">
        <w:rPr>
          <w:rFonts w:ascii="Arial" w:hAnsi="Arial" w:cs="Arial"/>
          <w:sz w:val="24"/>
          <w:szCs w:val="24"/>
        </w:rPr>
        <w:t>su</w:t>
      </w:r>
      <w:r w:rsidR="00634E86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D721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257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predmet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4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3"/>
    </w:p>
    <w:p w:rsidR="00634E86" w:rsidRDefault="00634E86" w:rsidP="00634E86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634E86" w:rsidRPr="00AA71AC" w:rsidTr="00634E86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634E86" w:rsidRPr="00AA71AC" w:rsidTr="00634E86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111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473</w:t>
            </w:r>
          </w:p>
        </w:tc>
      </w:tr>
      <w:tr w:rsidR="00634E86" w:rsidRPr="00AA71AC" w:rsidTr="00634E8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34E86" w:rsidRPr="00AA71AC" w:rsidRDefault="00634E86" w:rsidP="00634E86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738</w:t>
            </w:r>
          </w:p>
        </w:tc>
      </w:tr>
    </w:tbl>
    <w:p w:rsidR="00634E86" w:rsidRDefault="00634E86" w:rsidP="00634E86"/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634E86">
        <w:rPr>
          <w:rFonts w:ascii="Arial" w:hAnsi="Arial" w:cs="Arial"/>
          <w:sz w:val="24"/>
          <w:szCs w:val="24"/>
        </w:rPr>
        <w:t>prvom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634E86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634E86">
        <w:rPr>
          <w:rFonts w:ascii="Arial" w:hAnsi="Arial" w:cs="Arial"/>
          <w:sz w:val="24"/>
          <w:szCs w:val="24"/>
        </w:rPr>
        <w:t>738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750264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21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84616D" w:rsidRPr="00C6758C" w:rsidRDefault="0084616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4E86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predmet su predmeti korisnika prava na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612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021E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021E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koji </w:t>
      </w:r>
      <w:r w:rsidR="00E021E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ostvari</w:t>
      </w:r>
      <w:r w:rsidR="00E021E7">
        <w:rPr>
          <w:rFonts w:ascii="Arial" w:hAnsi="Arial" w:cs="Arial"/>
          <w:sz w:val="24"/>
          <w:szCs w:val="24"/>
        </w:rPr>
        <w:t>li</w:t>
      </w:r>
      <w:r w:rsidRPr="00C6758C">
        <w:rPr>
          <w:rFonts w:ascii="Arial" w:hAnsi="Arial" w:cs="Arial"/>
          <w:sz w:val="24"/>
          <w:szCs w:val="24"/>
        </w:rPr>
        <w:t xml:space="preserve">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predmeta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E021E7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021E7" w:rsidRDefault="00E021E7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776A28" w:rsidRDefault="00776A28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4" w:name="_Toc397074675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4"/>
    </w:p>
    <w:p w:rsidR="00E021E7" w:rsidRDefault="00E021E7" w:rsidP="00E021E7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E021E7" w:rsidRPr="00AA71AC" w:rsidTr="0017093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021E7" w:rsidRPr="00AA71AC" w:rsidTr="0017093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FOČA -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61</w:t>
            </w:r>
          </w:p>
        </w:tc>
      </w:tr>
    </w:tbl>
    <w:p w:rsidR="00E021E7" w:rsidRDefault="00E021E7" w:rsidP="00E021E7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021E7">
        <w:rPr>
          <w:rFonts w:ascii="Arial" w:hAnsi="Arial" w:cs="Arial"/>
          <w:sz w:val="24"/>
          <w:szCs w:val="24"/>
        </w:rPr>
        <w:t>prvom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021E7">
        <w:rPr>
          <w:rFonts w:ascii="Arial" w:hAnsi="Arial" w:cs="Arial"/>
          <w:sz w:val="24"/>
          <w:szCs w:val="24"/>
        </w:rPr>
        <w:t xml:space="preserve">61 </w:t>
      </w:r>
      <w:r w:rsidRPr="00C6758C">
        <w:rPr>
          <w:rFonts w:ascii="Arial" w:hAnsi="Arial" w:cs="Arial"/>
          <w:sz w:val="24"/>
          <w:szCs w:val="24"/>
        </w:rPr>
        <w:t>predmet</w:t>
      </w:r>
      <w:r w:rsidR="0084616D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5D7215">
        <w:rPr>
          <w:rFonts w:ascii="Arial" w:hAnsi="Arial" w:cs="Arial"/>
          <w:sz w:val="24"/>
          <w:szCs w:val="24"/>
        </w:rPr>
        <w:t xml:space="preserve"> </w:t>
      </w:r>
      <w:r w:rsidR="00E021E7">
        <w:rPr>
          <w:rFonts w:ascii="Arial" w:hAnsi="Arial" w:cs="Arial"/>
          <w:sz w:val="24"/>
          <w:szCs w:val="24"/>
        </w:rPr>
        <w:t>49</w:t>
      </w:r>
      <w:r w:rsidR="001E2C9F"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</w:t>
      </w:r>
      <w:r w:rsidR="001E2C9F">
        <w:rPr>
          <w:rFonts w:ascii="Arial" w:hAnsi="Arial" w:cs="Arial"/>
          <w:sz w:val="24"/>
          <w:szCs w:val="24"/>
        </w:rPr>
        <w:t>,</w:t>
      </w:r>
    </w:p>
    <w:p w:rsidR="0084616D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1</w:t>
      </w:r>
      <w:r w:rsidR="005D7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predmet </w:t>
      </w:r>
      <w:r w:rsidR="00E021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predmet korisnika </w:t>
      </w:r>
      <w:r w:rsidR="000647B5" w:rsidRPr="00C6758C">
        <w:rPr>
          <w:rFonts w:ascii="Arial" w:hAnsi="Arial" w:cs="Arial"/>
          <w:sz w:val="24"/>
          <w:szCs w:val="24"/>
        </w:rPr>
        <w:t xml:space="preserve">koji </w:t>
      </w:r>
      <w:r w:rsidR="00E021E7">
        <w:rPr>
          <w:rFonts w:ascii="Arial" w:hAnsi="Arial" w:cs="Arial"/>
          <w:sz w:val="24"/>
          <w:szCs w:val="24"/>
        </w:rPr>
        <w:t xml:space="preserve">je </w:t>
      </w:r>
      <w:r w:rsidR="000647B5" w:rsidRPr="00C6758C">
        <w:rPr>
          <w:rFonts w:ascii="Arial" w:hAnsi="Arial" w:cs="Arial"/>
          <w:sz w:val="24"/>
          <w:szCs w:val="24"/>
        </w:rPr>
        <w:t>ostvari</w:t>
      </w:r>
      <w:r w:rsidR="00E021E7">
        <w:rPr>
          <w:rFonts w:ascii="Arial" w:hAnsi="Arial" w:cs="Arial"/>
          <w:sz w:val="24"/>
          <w:szCs w:val="24"/>
        </w:rPr>
        <w:t>o</w:t>
      </w:r>
      <w:r w:rsidR="000647B5" w:rsidRPr="00C6758C">
        <w:rPr>
          <w:rFonts w:ascii="Arial" w:hAnsi="Arial" w:cs="Arial"/>
          <w:sz w:val="24"/>
          <w:szCs w:val="24"/>
        </w:rPr>
        <w:t xml:space="preserve"> pravo na penziju pod povoljnijim uvjetima</w:t>
      </w:r>
      <w:r w:rsidR="0084616D">
        <w:rPr>
          <w:rFonts w:ascii="Arial" w:hAnsi="Arial" w:cs="Arial"/>
          <w:sz w:val="24"/>
          <w:szCs w:val="24"/>
        </w:rPr>
        <w:t>,</w:t>
      </w:r>
    </w:p>
    <w:p w:rsidR="000647B5" w:rsidRPr="00C6758C" w:rsidRDefault="0084616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1E2C9F" w:rsidRDefault="005D7215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5" w:name="_Toc397074676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E2600D" w:rsidRDefault="00E2600D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5"/>
    </w:p>
    <w:p w:rsidR="00E021E7" w:rsidRPr="00E021E7" w:rsidRDefault="00E021E7" w:rsidP="00E021E7">
      <w:pPr>
        <w:rPr>
          <w:lang w:val="hr-BA" w:eastAsia="hr-HR"/>
        </w:rPr>
      </w:pPr>
    </w:p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E021E7" w:rsidRPr="00AA71AC" w:rsidTr="0017093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021E7" w:rsidRPr="00AA71AC" w:rsidTr="0017093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G. VAKUF/USKOPLJE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184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83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273</w:t>
            </w:r>
          </w:p>
        </w:tc>
      </w:tr>
      <w:tr w:rsidR="00E021E7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651</w:t>
            </w:r>
          </w:p>
        </w:tc>
      </w:tr>
    </w:tbl>
    <w:p w:rsidR="000647B5" w:rsidRPr="00C6758C" w:rsidRDefault="000647B5" w:rsidP="00776A28">
      <w:pPr>
        <w:spacing w:after="0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021E7">
        <w:rPr>
          <w:rFonts w:ascii="Arial" w:hAnsi="Arial" w:cs="Arial"/>
          <w:sz w:val="24"/>
          <w:szCs w:val="24"/>
        </w:rPr>
        <w:t xml:space="preserve">prvom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021E7">
        <w:rPr>
          <w:rFonts w:ascii="Arial" w:hAnsi="Arial" w:cs="Arial"/>
          <w:sz w:val="24"/>
          <w:szCs w:val="24"/>
        </w:rPr>
        <w:t>651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E021E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23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58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a</w:t>
      </w:r>
      <w:r w:rsidR="00E021E7">
        <w:rPr>
          <w:rFonts w:ascii="Arial" w:hAnsi="Arial" w:cs="Arial"/>
          <w:sz w:val="24"/>
          <w:szCs w:val="24"/>
        </w:rPr>
        <w:t xml:space="preserve"> </w:t>
      </w:r>
      <w:r w:rsidR="00984C6D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4C72A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524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0647B5" w:rsidRPr="00C6758C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21E7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16"/>
    </w:p>
    <w:tbl>
      <w:tblPr>
        <w:tblW w:w="14133" w:type="dxa"/>
        <w:tblLook w:val="04A0" w:firstRow="1" w:lastRow="0" w:firstColumn="1" w:lastColumn="0" w:noHBand="0" w:noVBand="1"/>
      </w:tblPr>
      <w:tblGrid>
        <w:gridCol w:w="1551"/>
        <w:gridCol w:w="819"/>
        <w:gridCol w:w="819"/>
        <w:gridCol w:w="1282"/>
        <w:gridCol w:w="820"/>
        <w:gridCol w:w="820"/>
        <w:gridCol w:w="1282"/>
        <w:gridCol w:w="820"/>
        <w:gridCol w:w="820"/>
        <w:gridCol w:w="1282"/>
        <w:gridCol w:w="820"/>
        <w:gridCol w:w="820"/>
        <w:gridCol w:w="1282"/>
        <w:gridCol w:w="896"/>
      </w:tblGrid>
      <w:tr w:rsidR="00E021E7" w:rsidRPr="00AA71AC" w:rsidTr="00776A28">
        <w:trPr>
          <w:trHeight w:val="28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021E7" w:rsidRPr="00AA71AC" w:rsidTr="00776A28">
        <w:trPr>
          <w:trHeight w:val="8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370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71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E021E7" w:rsidRPr="00AA71AC" w:rsidTr="00776A28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21E7" w:rsidRPr="00AA71AC" w:rsidRDefault="00E021E7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607</w:t>
            </w:r>
          </w:p>
        </w:tc>
      </w:tr>
    </w:tbl>
    <w:p w:rsidR="00E021E7" w:rsidRDefault="00E021E7" w:rsidP="00E021E7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E021E7">
        <w:rPr>
          <w:rFonts w:ascii="Arial" w:hAnsi="Arial" w:cs="Arial"/>
          <w:sz w:val="24"/>
          <w:szCs w:val="24"/>
        </w:rPr>
        <w:t xml:space="preserve">prvom </w:t>
      </w:r>
      <w:r w:rsidR="00A11A91">
        <w:rPr>
          <w:rFonts w:ascii="Arial" w:hAnsi="Arial" w:cs="Arial"/>
          <w:sz w:val="24"/>
          <w:szCs w:val="24"/>
        </w:rPr>
        <w:t>kvartalu</w:t>
      </w:r>
      <w:r w:rsidRPr="00C6758C">
        <w:rPr>
          <w:rFonts w:ascii="Arial" w:hAnsi="Arial" w:cs="Arial"/>
          <w:sz w:val="24"/>
          <w:szCs w:val="24"/>
        </w:rPr>
        <w:t xml:space="preserve"> 201</w:t>
      </w:r>
      <w:r w:rsidR="00E021E7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E2600D">
        <w:rPr>
          <w:rFonts w:ascii="Arial" w:hAnsi="Arial" w:cs="Arial"/>
          <w:sz w:val="24"/>
          <w:szCs w:val="24"/>
        </w:rPr>
        <w:t>6</w:t>
      </w:r>
      <w:r w:rsidR="00E021E7">
        <w:rPr>
          <w:rFonts w:ascii="Arial" w:hAnsi="Arial" w:cs="Arial"/>
          <w:sz w:val="24"/>
          <w:szCs w:val="24"/>
        </w:rPr>
        <w:t xml:space="preserve">07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</w:t>
      </w:r>
      <w:r w:rsidR="00E021E7">
        <w:rPr>
          <w:rFonts w:ascii="Arial" w:hAnsi="Arial" w:cs="Arial"/>
          <w:sz w:val="24"/>
          <w:szCs w:val="24"/>
        </w:rPr>
        <w:t>02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</w:t>
      </w:r>
      <w:r w:rsidR="005733C5">
        <w:rPr>
          <w:rFonts w:ascii="Arial" w:hAnsi="Arial" w:cs="Arial"/>
          <w:sz w:val="24"/>
          <w:szCs w:val="24"/>
        </w:rPr>
        <w:t>47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BD6F21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169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E016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BD6F21">
        <w:rPr>
          <w:rFonts w:ascii="Arial" w:hAnsi="Arial" w:cs="Arial"/>
          <w:sz w:val="24"/>
          <w:szCs w:val="24"/>
        </w:rPr>
        <w:t>,</w:t>
      </w:r>
    </w:p>
    <w:p w:rsidR="000647B5" w:rsidRPr="00C6758C" w:rsidRDefault="00BD6F21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predmet</w:t>
      </w:r>
      <w:r w:rsidR="00E2600D">
        <w:rPr>
          <w:rFonts w:ascii="Arial" w:hAnsi="Arial" w:cs="Arial"/>
          <w:sz w:val="24"/>
          <w:szCs w:val="24"/>
        </w:rPr>
        <w:t>a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E2600D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predmet</w:t>
      </w:r>
      <w:r w:rsidR="00E260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5733C5">
        <w:rPr>
          <w:rFonts w:ascii="Arial" w:hAnsi="Arial" w:cs="Arial"/>
          <w:sz w:val="24"/>
          <w:szCs w:val="24"/>
          <w:lang w:val="bs-Latn-BA"/>
        </w:rPr>
        <w:t>.</w:t>
      </w: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7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7"/>
    </w:p>
    <w:p w:rsidR="005733C5" w:rsidRDefault="005733C5" w:rsidP="005733C5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5733C5" w:rsidRPr="00AA71AC" w:rsidTr="0017093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733C5" w:rsidRPr="00AA71AC" w:rsidTr="0017093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221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406</w:t>
            </w:r>
          </w:p>
        </w:tc>
      </w:tr>
    </w:tbl>
    <w:p w:rsidR="005733C5" w:rsidRDefault="005733C5" w:rsidP="005733C5"/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733C5">
        <w:rPr>
          <w:rFonts w:ascii="Arial" w:hAnsi="Arial" w:cs="Arial"/>
          <w:sz w:val="24"/>
          <w:szCs w:val="24"/>
        </w:rPr>
        <w:t>prvom</w:t>
      </w:r>
      <w:r w:rsidRPr="00C6758C">
        <w:rPr>
          <w:rFonts w:ascii="Arial" w:hAnsi="Arial" w:cs="Arial"/>
          <w:sz w:val="24"/>
          <w:szCs w:val="24"/>
        </w:rPr>
        <w:t xml:space="preserve"> 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5733C5">
        <w:rPr>
          <w:rFonts w:ascii="Arial" w:hAnsi="Arial" w:cs="Arial"/>
          <w:sz w:val="24"/>
          <w:szCs w:val="24"/>
        </w:rPr>
        <w:t>406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19</w:t>
      </w:r>
      <w:r w:rsidR="005733C5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 xml:space="preserve"> predmet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E2600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</w:t>
      </w:r>
      <w:r w:rsidR="005733C5">
        <w:rPr>
          <w:rFonts w:ascii="Arial" w:hAnsi="Arial" w:cs="Arial"/>
          <w:sz w:val="24"/>
          <w:szCs w:val="24"/>
        </w:rPr>
        <w:t>01</w:t>
      </w:r>
      <w:r w:rsidRPr="00C6758C">
        <w:rPr>
          <w:rFonts w:ascii="Arial" w:hAnsi="Arial" w:cs="Arial"/>
          <w:sz w:val="24"/>
          <w:szCs w:val="24"/>
        </w:rPr>
        <w:t xml:space="preserve"> predmet su predmeti korisnika</w:t>
      </w:r>
      <w:r w:rsidR="00E2600D">
        <w:rPr>
          <w:rFonts w:ascii="Arial" w:hAnsi="Arial" w:cs="Arial"/>
          <w:sz w:val="24"/>
          <w:szCs w:val="24"/>
        </w:rPr>
        <w:t xml:space="preserve"> prava na porodičnu invalidninu,</w:t>
      </w:r>
    </w:p>
    <w:p w:rsidR="005733C5" w:rsidRDefault="005733C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- 73 predmeta su predmeti </w:t>
      </w:r>
      <w:r w:rsidRPr="00C6758C">
        <w:rPr>
          <w:rFonts w:ascii="Arial" w:hAnsi="Arial" w:cs="Arial"/>
          <w:sz w:val="24"/>
          <w:szCs w:val="24"/>
        </w:rPr>
        <w:t>korisnika koji su ostvarili pravo na penziju pod povoljnijim uvjetima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47B5" w:rsidRPr="00C6758C" w:rsidRDefault="00E2600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41</w:t>
      </w:r>
      <w:r w:rsidR="00094984">
        <w:rPr>
          <w:rFonts w:ascii="Arial" w:hAnsi="Arial" w:cs="Arial"/>
          <w:sz w:val="24"/>
          <w:szCs w:val="24"/>
        </w:rPr>
        <w:t xml:space="preserve"> predmet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8" w:name="_Toc397074679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1, osim u </w:t>
      </w:r>
      <w:r w:rsidR="005733C5">
        <w:rPr>
          <w:rFonts w:ascii="Arial" w:hAnsi="Arial" w:cs="Arial"/>
          <w:sz w:val="24"/>
          <w:szCs w:val="24"/>
          <w:lang w:val="bs-Latn-BA"/>
        </w:rPr>
        <w:t>3</w:t>
      </w:r>
      <w:r>
        <w:rPr>
          <w:rFonts w:ascii="Arial" w:hAnsi="Arial" w:cs="Arial"/>
          <w:sz w:val="24"/>
          <w:szCs w:val="24"/>
          <w:lang w:val="bs-Latn-BA"/>
        </w:rPr>
        <w:t xml:space="preserve"> predmeta korisnika prava na </w:t>
      </w:r>
      <w:r w:rsidR="005733C5">
        <w:rPr>
          <w:rFonts w:ascii="Arial" w:hAnsi="Arial" w:cs="Arial"/>
          <w:sz w:val="24"/>
          <w:szCs w:val="24"/>
          <w:lang w:val="bs-Latn-BA"/>
        </w:rPr>
        <w:t>ličnu invalidninu.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lastRenderedPageBreak/>
        <w:t>2.1.09. Kanton Sarajevo</w:t>
      </w:r>
      <w:bookmarkEnd w:id="18"/>
    </w:p>
    <w:p w:rsidR="00E15A38" w:rsidRPr="00292C1C" w:rsidRDefault="00E15A38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p w:rsidR="005733C5" w:rsidRDefault="005733C5" w:rsidP="005733C5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5733C5" w:rsidRPr="00AA71AC" w:rsidTr="0017093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733C5" w:rsidRPr="00AA71AC" w:rsidTr="0017093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387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655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SARAJEVO 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1686</w:t>
            </w:r>
          </w:p>
        </w:tc>
      </w:tr>
    </w:tbl>
    <w:p w:rsidR="005733C5" w:rsidRDefault="005733C5" w:rsidP="005733C5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733C5">
        <w:rPr>
          <w:rFonts w:ascii="Arial" w:hAnsi="Arial" w:cs="Arial"/>
          <w:sz w:val="24"/>
          <w:szCs w:val="24"/>
        </w:rPr>
        <w:t xml:space="preserve">prvom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5733C5">
        <w:rPr>
          <w:rFonts w:ascii="Arial" w:hAnsi="Arial" w:cs="Arial"/>
          <w:sz w:val="24"/>
          <w:szCs w:val="24"/>
        </w:rPr>
        <w:t>1686</w:t>
      </w:r>
      <w:r w:rsidR="00E15A38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733C5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 xml:space="preserve">88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15A38">
        <w:rPr>
          <w:rFonts w:ascii="Arial" w:hAnsi="Arial" w:cs="Arial"/>
          <w:sz w:val="24"/>
          <w:szCs w:val="24"/>
        </w:rPr>
        <w:t>7</w:t>
      </w:r>
      <w:r w:rsidR="005733C5">
        <w:rPr>
          <w:rFonts w:ascii="Arial" w:hAnsi="Arial" w:cs="Arial"/>
          <w:sz w:val="24"/>
          <w:szCs w:val="24"/>
        </w:rPr>
        <w:t>56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295267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746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295267">
        <w:rPr>
          <w:rFonts w:ascii="Arial" w:hAnsi="Arial" w:cs="Arial"/>
          <w:sz w:val="24"/>
          <w:szCs w:val="24"/>
        </w:rPr>
        <w:t>,</w:t>
      </w:r>
    </w:p>
    <w:p w:rsidR="005A2499" w:rsidRPr="00C6758C" w:rsidRDefault="00295267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5A2499" w:rsidRPr="00C6758C">
        <w:rPr>
          <w:rFonts w:ascii="Arial" w:hAnsi="Arial" w:cs="Arial"/>
          <w:sz w:val="24"/>
          <w:szCs w:val="24"/>
        </w:rPr>
        <w:t>.</w:t>
      </w:r>
    </w:p>
    <w:p w:rsidR="00E15A38" w:rsidRDefault="00E15A38" w:rsidP="00E15A3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9" w:name="_Toc397074680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5D3487" w:rsidRDefault="005D3487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Default="00776A28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776A28" w:rsidRPr="00776A28" w:rsidRDefault="00776A28" w:rsidP="00776A28">
      <w:pPr>
        <w:rPr>
          <w:lang w:val="hr-BA" w:eastAsia="hr-HR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lastRenderedPageBreak/>
        <w:t>2.1.10. Kanton 10</w:t>
      </w:r>
      <w:bookmarkEnd w:id="19"/>
    </w:p>
    <w:p w:rsidR="005733C5" w:rsidRDefault="005733C5" w:rsidP="005733C5"/>
    <w:tbl>
      <w:tblPr>
        <w:tblW w:w="13115" w:type="dxa"/>
        <w:tblLook w:val="04A0" w:firstRow="1" w:lastRow="0" w:firstColumn="1" w:lastColumn="0" w:noHBand="0" w:noVBand="1"/>
      </w:tblPr>
      <w:tblGrid>
        <w:gridCol w:w="1706"/>
        <w:gridCol w:w="805"/>
        <w:gridCol w:w="804"/>
        <w:gridCol w:w="1255"/>
        <w:gridCol w:w="804"/>
        <w:gridCol w:w="804"/>
        <w:gridCol w:w="1255"/>
        <w:gridCol w:w="804"/>
        <w:gridCol w:w="804"/>
        <w:gridCol w:w="1255"/>
        <w:gridCol w:w="804"/>
        <w:gridCol w:w="804"/>
        <w:gridCol w:w="1255"/>
        <w:gridCol w:w="974"/>
      </w:tblGrid>
      <w:tr w:rsidR="005733C5" w:rsidRPr="00AA71AC" w:rsidTr="00170938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733C5" w:rsidRPr="00AA71AC" w:rsidTr="00170938">
        <w:trPr>
          <w:trHeight w:val="8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733C5" w:rsidRPr="00AA71AC" w:rsidTr="0017093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733C5" w:rsidRPr="00AA71AC" w:rsidRDefault="005733C5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62</w:t>
            </w:r>
          </w:p>
        </w:tc>
      </w:tr>
    </w:tbl>
    <w:p w:rsidR="005733C5" w:rsidRDefault="005733C5" w:rsidP="005733C5"/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733C5">
        <w:rPr>
          <w:rFonts w:ascii="Arial" w:hAnsi="Arial" w:cs="Arial"/>
          <w:sz w:val="24"/>
          <w:szCs w:val="24"/>
        </w:rPr>
        <w:t>prvom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5733C5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5733C5">
        <w:rPr>
          <w:rFonts w:ascii="Arial" w:hAnsi="Arial" w:cs="Arial"/>
          <w:sz w:val="24"/>
          <w:szCs w:val="24"/>
        </w:rPr>
        <w:t>62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72A6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51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733C5">
        <w:rPr>
          <w:rFonts w:ascii="Arial" w:hAnsi="Arial" w:cs="Arial"/>
          <w:sz w:val="24"/>
          <w:szCs w:val="24"/>
        </w:rPr>
        <w:t xml:space="preserve"> </w:t>
      </w:r>
      <w:r w:rsidR="005D348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72A6E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 w:rsidR="005D3487">
        <w:rPr>
          <w:rFonts w:ascii="Arial" w:hAnsi="Arial" w:cs="Arial"/>
          <w:sz w:val="24"/>
          <w:szCs w:val="24"/>
          <w:lang w:val="bs-Latn-BA"/>
        </w:rPr>
        <w:t>prava na porodičnu invalidninu</w:t>
      </w:r>
    </w:p>
    <w:p w:rsidR="00572A6E" w:rsidRPr="00C6758C" w:rsidRDefault="00A16358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33C5">
        <w:rPr>
          <w:rFonts w:ascii="Arial" w:hAnsi="Arial" w:cs="Arial"/>
          <w:sz w:val="24"/>
          <w:szCs w:val="24"/>
        </w:rPr>
        <w:t xml:space="preserve">8 </w:t>
      </w:r>
      <w:r w:rsidR="006159F0">
        <w:rPr>
          <w:rFonts w:ascii="Arial" w:hAnsi="Arial" w:cs="Arial"/>
          <w:sz w:val="24"/>
          <w:szCs w:val="24"/>
        </w:rPr>
        <w:t>predmeta su predmeti korisnika prava na mjesečni novčani dodatak</w:t>
      </w:r>
      <w:r w:rsidR="00572A6E">
        <w:rPr>
          <w:rFonts w:ascii="Arial" w:hAnsi="Arial" w:cs="Arial"/>
          <w:sz w:val="24"/>
          <w:szCs w:val="24"/>
        </w:rPr>
        <w:t>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20" w:name="_Toc397074681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</w:t>
      </w:r>
      <w:r w:rsidR="005733C5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292C1C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20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p w:rsidR="003D2E58" w:rsidRDefault="003D2E58" w:rsidP="003D2E58"/>
    <w:tbl>
      <w:tblPr>
        <w:tblW w:w="14220" w:type="dxa"/>
        <w:tblLook w:val="04A0" w:firstRow="1" w:lastRow="0" w:firstColumn="1" w:lastColumn="0" w:noHBand="0" w:noVBand="1"/>
      </w:tblPr>
      <w:tblGrid>
        <w:gridCol w:w="1716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889"/>
        <w:gridCol w:w="889"/>
        <w:gridCol w:w="1405"/>
        <w:gridCol w:w="980"/>
      </w:tblGrid>
      <w:tr w:rsidR="003D2E58" w:rsidRPr="00AA71AC" w:rsidTr="00170938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3D2E58" w:rsidRPr="00AA71AC" w:rsidTr="00170938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2E58" w:rsidRPr="00AA71AC" w:rsidRDefault="003D2E58" w:rsidP="00170938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3D2E58" w:rsidRPr="00AA71AC" w:rsidTr="0017093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139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D2E58" w:rsidRPr="00AA71AC" w:rsidRDefault="003D2E58" w:rsidP="00170938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AA71AC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150</w:t>
            </w:r>
          </w:p>
        </w:tc>
      </w:tr>
    </w:tbl>
    <w:p w:rsidR="003D2E58" w:rsidRDefault="003D2E58" w:rsidP="003D2E58"/>
    <w:p w:rsidR="005D3487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3D2E58">
        <w:rPr>
          <w:rFonts w:ascii="Arial" w:hAnsi="Arial" w:cs="Arial"/>
          <w:sz w:val="24"/>
          <w:szCs w:val="24"/>
        </w:rPr>
        <w:t>prvom</w:t>
      </w:r>
      <w:r w:rsidR="007E010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</w:t>
      </w:r>
      <w:r w:rsidR="003D2E58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 xml:space="preserve">. godine postupak kontrole okončali u ukupno </w:t>
      </w:r>
      <w:r w:rsidR="003D2E58">
        <w:rPr>
          <w:rFonts w:ascii="Arial" w:hAnsi="Arial" w:cs="Arial"/>
          <w:sz w:val="24"/>
          <w:szCs w:val="24"/>
        </w:rPr>
        <w:t>150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5D3487">
        <w:rPr>
          <w:rFonts w:ascii="Arial" w:hAnsi="Arial" w:cs="Arial"/>
          <w:sz w:val="24"/>
          <w:szCs w:val="24"/>
        </w:rPr>
        <w:t>.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- </w:t>
      </w:r>
      <w:r w:rsidR="003D2E58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>
        <w:rPr>
          <w:rFonts w:ascii="Arial" w:hAnsi="Arial" w:cs="Arial"/>
          <w:sz w:val="24"/>
          <w:szCs w:val="24"/>
        </w:rPr>
        <w:t>a</w:t>
      </w:r>
      <w:r w:rsidR="003D2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2E58">
        <w:rPr>
          <w:rFonts w:ascii="Arial" w:hAnsi="Arial" w:cs="Arial"/>
          <w:sz w:val="24"/>
          <w:szCs w:val="24"/>
        </w:rPr>
        <w:t>139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>
        <w:rPr>
          <w:rFonts w:ascii="Arial" w:hAnsi="Arial" w:cs="Arial"/>
          <w:sz w:val="24"/>
          <w:szCs w:val="24"/>
          <w:lang w:val="bs-Latn-BA"/>
        </w:rPr>
        <w:t>prava na porodičnu invalidninu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3D2E58">
        <w:rPr>
          <w:rFonts w:ascii="Arial" w:hAnsi="Arial" w:cs="Arial"/>
          <w:sz w:val="24"/>
          <w:szCs w:val="24"/>
          <w:lang w:val="bs-Latn-BA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predmeta su predmeti korisnika </w:t>
      </w:r>
      <w:r w:rsidR="003D2E58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>
        <w:rPr>
          <w:rFonts w:ascii="Arial" w:hAnsi="Arial" w:cs="Arial"/>
          <w:sz w:val="24"/>
          <w:szCs w:val="24"/>
        </w:rPr>
        <w:t>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1. </w:t>
      </w:r>
    </w:p>
    <w:p w:rsidR="00AB4F97" w:rsidRDefault="00AB4F9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D526DE">
        <w:rPr>
          <w:rFonts w:ascii="Arial" w:hAnsi="Arial" w:cs="Arial"/>
          <w:color w:val="auto"/>
          <w:sz w:val="24"/>
          <w:szCs w:val="24"/>
        </w:rPr>
        <w:t>1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066277">
        <w:rPr>
          <w:rFonts w:ascii="Arial" w:hAnsi="Arial" w:cs="Arial"/>
          <w:color w:val="auto"/>
          <w:sz w:val="24"/>
          <w:szCs w:val="24"/>
        </w:rPr>
        <w:t>3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066277">
        <w:rPr>
          <w:rFonts w:ascii="Arial" w:hAnsi="Arial" w:cs="Arial"/>
          <w:color w:val="auto"/>
          <w:sz w:val="24"/>
          <w:szCs w:val="24"/>
        </w:rPr>
        <w:t>7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3D2E58" w:rsidRPr="003D2E58" w:rsidRDefault="003D2E58" w:rsidP="003D2E58">
      <w:pPr>
        <w:rPr>
          <w:lang w:val="hr-BA" w:eastAsia="hr-HR"/>
        </w:rPr>
      </w:pPr>
    </w:p>
    <w:tbl>
      <w:tblPr>
        <w:tblW w:w="14133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851"/>
        <w:gridCol w:w="283"/>
        <w:gridCol w:w="1134"/>
        <w:gridCol w:w="993"/>
        <w:gridCol w:w="992"/>
        <w:gridCol w:w="1134"/>
        <w:gridCol w:w="992"/>
        <w:gridCol w:w="1134"/>
        <w:gridCol w:w="992"/>
        <w:gridCol w:w="828"/>
        <w:gridCol w:w="831"/>
      </w:tblGrid>
      <w:tr w:rsidR="005078F5" w:rsidRPr="00E10B6A" w:rsidTr="005078F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207" w:rsidRPr="001B2538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 w:rsidRPr="001B2538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</w:tr>
      <w:tr w:rsidR="005078F5" w:rsidRPr="00E10B6A" w:rsidTr="005078F5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3.2017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066277" w:rsidP="00AB4F9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</w:t>
            </w:r>
            <w:r w:rsidR="00AB4F9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="005078F5"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6627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066277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AB4F9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</w:t>
            </w:r>
            <w:r w:rsidR="00AB4F9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E10B6A" w:rsidRDefault="005078F5" w:rsidP="006C2C4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6C2C4E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</w:t>
            </w:r>
            <w:r w:rsidR="006C2C4E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6C2C4E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3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  <w:p w:rsidR="005078F5" w:rsidRPr="00E10B6A" w:rsidRDefault="005078F5" w:rsidP="006C2C4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201</w:t>
            </w:r>
            <w:r w:rsidR="006C2C4E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</w:t>
            </w:r>
            <w:r w:rsidR="0032398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</w:t>
            </w:r>
          </w:p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2010.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420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POSAVSKI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</w:t>
            </w:r>
            <w:r w:rsidR="00000979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296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TUZLANSKI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</w:t>
            </w:r>
            <w:r w:rsidR="00143FD0">
              <w:rPr>
                <w:rFonts w:eastAsia="Times New Roman"/>
                <w:color w:val="000000"/>
                <w:lang w:eastAsia="bs-Latn-BA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414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ZE-DO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143FD0">
              <w:rPr>
                <w:rFonts w:eastAsia="Times New Roman"/>
                <w:color w:val="000000"/>
                <w:lang w:eastAsia="bs-Latn-BA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518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PODRINJSKI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</w:t>
            </w:r>
            <w:r w:rsidR="00143FD0">
              <w:rPr>
                <w:rFonts w:eastAsia="Times New Roman"/>
                <w:color w:val="000000"/>
                <w:lang w:eastAsia="bs-Latn-B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SBK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574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HNK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143FD0">
              <w:rPr>
                <w:rFonts w:eastAsia="Times New Roman"/>
                <w:color w:val="000000"/>
                <w:lang w:eastAsia="bs-Latn-BA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916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ZHK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A623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143FD0">
              <w:rPr>
                <w:rFonts w:eastAsia="Times New Roman"/>
                <w:color w:val="000000"/>
                <w:lang w:eastAsia="bs-Latn-BA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523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SARAJEVSKI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55</w:t>
            </w:r>
            <w:r w:rsidR="00143FD0">
              <w:rPr>
                <w:rFonts w:eastAsia="Times New Roman"/>
                <w:color w:val="000000"/>
                <w:lang w:eastAsia="bs-Latn-BA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938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KANTON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262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BRČKO 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41</w:t>
            </w:r>
            <w:r w:rsidR="00143FD0">
              <w:rPr>
                <w:rFonts w:eastAsia="Times New Roman"/>
                <w:color w:val="000000"/>
                <w:lang w:eastAsia="bs-Latn-B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53971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6C2C4E" w:rsidP="006C2C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FA7340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27766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597038">
              <w:rPr>
                <w:rFonts w:eastAsia="Times New Roman"/>
                <w:color w:val="000000"/>
                <w:lang w:eastAsia="bs-Latn-BA"/>
              </w:rPr>
              <w:t>3</w:t>
            </w: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597038">
              <w:rPr>
                <w:rFonts w:eastAsia="Times New Roman"/>
                <w:color w:val="000000"/>
                <w:lang w:eastAsia="bs-Latn-B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D77BC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4023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2D77BC" w:rsidP="00A37E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5005</w:t>
            </w:r>
          </w:p>
        </w:tc>
      </w:tr>
      <w:tr w:rsidR="001B2538" w:rsidRPr="00E10B6A" w:rsidTr="001B2538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B2538" w:rsidRPr="00292C1C" w:rsidRDefault="00292C1C" w:rsidP="0051620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>Pregledano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FA7340">
              <w:rPr>
                <w:rFonts w:eastAsia="Times New Roman"/>
                <w:b/>
                <w:color w:val="000000"/>
                <w:lang w:eastAsia="bs-Latn-BA"/>
              </w:rPr>
              <w:t>129335</w:t>
            </w:r>
          </w:p>
          <w:p w:rsidR="00292C1C" w:rsidRPr="00E10B6A" w:rsidRDefault="00292C1C" w:rsidP="00FA7340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 xml:space="preserve"> Ostaje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A37E51">
              <w:rPr>
                <w:rFonts w:eastAsia="Times New Roman"/>
                <w:b/>
                <w:color w:val="000000"/>
                <w:lang w:eastAsia="bs-Latn-BA"/>
              </w:rPr>
              <w:t>1</w:t>
            </w:r>
            <w:r w:rsidR="00FA7340">
              <w:rPr>
                <w:rFonts w:eastAsia="Times New Roman"/>
                <w:b/>
                <w:color w:val="000000"/>
                <w:lang w:eastAsia="bs-Latn-BA"/>
              </w:rPr>
              <w:t>1720</w:t>
            </w: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1B2538" w:rsidRPr="00E10B6A" w:rsidTr="004C72AD">
        <w:trPr>
          <w:trHeight w:val="426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>od početka primjene Zakona o reviziji do 3</w:t>
      </w:r>
      <w:r w:rsidR="003A26FD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FA7340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>.201</w:t>
      </w:r>
      <w:r w:rsidR="00FA7340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FA7340">
        <w:rPr>
          <w:rFonts w:ascii="Arial" w:hAnsi="Arial" w:cs="Arial"/>
          <w:sz w:val="24"/>
          <w:szCs w:val="24"/>
        </w:rPr>
        <w:t>29335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597038">
        <w:rPr>
          <w:rFonts w:ascii="Arial" w:hAnsi="Arial" w:cs="Arial"/>
          <w:sz w:val="24"/>
          <w:szCs w:val="24"/>
        </w:rPr>
        <w:t>3</w:t>
      </w:r>
      <w:r w:rsidR="00FA7340">
        <w:rPr>
          <w:rFonts w:ascii="Arial" w:hAnsi="Arial" w:cs="Arial"/>
          <w:sz w:val="24"/>
          <w:szCs w:val="24"/>
        </w:rPr>
        <w:t>971</w:t>
      </w:r>
      <w:r w:rsidRPr="00C6758C">
        <w:rPr>
          <w:rFonts w:ascii="Arial" w:hAnsi="Arial" w:cs="Arial"/>
          <w:sz w:val="24"/>
          <w:szCs w:val="24"/>
        </w:rPr>
        <w:t xml:space="preserve"> predmet su predmeti korisnika prava na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>4</w:t>
      </w:r>
      <w:r w:rsidR="00FA7340">
        <w:rPr>
          <w:rFonts w:ascii="Arial" w:hAnsi="Arial" w:cs="Arial"/>
          <w:sz w:val="24"/>
          <w:szCs w:val="24"/>
        </w:rPr>
        <w:t>3575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FA7340">
        <w:rPr>
          <w:rFonts w:ascii="Arial" w:hAnsi="Arial" w:cs="Arial"/>
          <w:sz w:val="24"/>
          <w:szCs w:val="24"/>
        </w:rPr>
        <w:t>27766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na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7340">
        <w:rPr>
          <w:rFonts w:ascii="Arial" w:hAnsi="Arial" w:cs="Arial"/>
          <w:sz w:val="24"/>
          <w:szCs w:val="24"/>
        </w:rPr>
        <w:t>4023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na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Nadalje je vidljivo da će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="00FA7340">
        <w:rPr>
          <w:rFonts w:ascii="Arial" w:hAnsi="Arial" w:cs="Arial"/>
          <w:sz w:val="24"/>
          <w:szCs w:val="24"/>
        </w:rPr>
        <w:t>11720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>1</w:t>
      </w:r>
      <w:r w:rsidR="00FA7340">
        <w:rPr>
          <w:rFonts w:ascii="Arial" w:hAnsi="Arial" w:cs="Arial"/>
          <w:sz w:val="24"/>
          <w:szCs w:val="24"/>
        </w:rPr>
        <w:t>474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="00FA7340">
        <w:rPr>
          <w:rFonts w:ascii="Arial" w:hAnsi="Arial" w:cs="Arial"/>
          <w:sz w:val="24"/>
          <w:szCs w:val="24"/>
        </w:rPr>
        <w:t>3651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 su predmeti korisnika prava na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D2E58">
        <w:rPr>
          <w:rFonts w:ascii="Arial" w:hAnsi="Arial" w:cs="Arial"/>
          <w:sz w:val="24"/>
          <w:szCs w:val="24"/>
        </w:rPr>
        <w:t xml:space="preserve"> </w:t>
      </w:r>
      <w:r w:rsidR="00466292">
        <w:rPr>
          <w:rFonts w:ascii="Arial" w:hAnsi="Arial" w:cs="Arial"/>
          <w:sz w:val="24"/>
          <w:szCs w:val="24"/>
        </w:rPr>
        <w:t>5613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D2E58">
        <w:rPr>
          <w:rFonts w:ascii="Arial" w:hAnsi="Arial" w:cs="Arial"/>
          <w:sz w:val="24"/>
          <w:szCs w:val="24"/>
        </w:rPr>
        <w:t xml:space="preserve"> </w:t>
      </w:r>
      <w:r w:rsidR="00466292">
        <w:rPr>
          <w:rFonts w:ascii="Arial" w:hAnsi="Arial" w:cs="Arial"/>
          <w:sz w:val="24"/>
          <w:szCs w:val="24"/>
        </w:rPr>
        <w:t>982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Pr="00C6758C" w:rsidRDefault="0017093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podacima</w:t>
      </w:r>
      <w:r w:rsidR="00E10C8B">
        <w:rPr>
          <w:rFonts w:ascii="Arial" w:hAnsi="Arial" w:cs="Arial"/>
          <w:sz w:val="24"/>
          <w:szCs w:val="24"/>
        </w:rPr>
        <w:t>(predhodna informacija)</w:t>
      </w:r>
      <w:r>
        <w:rPr>
          <w:rFonts w:ascii="Arial" w:hAnsi="Arial" w:cs="Arial"/>
          <w:sz w:val="24"/>
          <w:szCs w:val="24"/>
        </w:rPr>
        <w:t xml:space="preserve"> </w:t>
      </w:r>
      <w:r w:rsidR="00845C8D" w:rsidRPr="00071507">
        <w:rPr>
          <w:rFonts w:ascii="Arial" w:hAnsi="Arial" w:cs="Arial"/>
          <w:sz w:val="24"/>
          <w:szCs w:val="24"/>
        </w:rPr>
        <w:t>zaključno sa 31.12.201</w:t>
      </w:r>
      <w:r w:rsidR="00466292" w:rsidRPr="00071507">
        <w:rPr>
          <w:rFonts w:ascii="Arial" w:hAnsi="Arial" w:cs="Arial"/>
          <w:sz w:val="24"/>
          <w:szCs w:val="24"/>
        </w:rPr>
        <w:t>6</w:t>
      </w:r>
      <w:r w:rsidR="00845C8D" w:rsidRPr="00071507">
        <w:rPr>
          <w:rFonts w:ascii="Arial" w:hAnsi="Arial" w:cs="Arial"/>
          <w:sz w:val="24"/>
          <w:szCs w:val="24"/>
        </w:rPr>
        <w:t xml:space="preserve">. godine </w:t>
      </w:r>
      <w:r w:rsidR="000E4AC1" w:rsidRPr="00071507">
        <w:rPr>
          <w:rFonts w:ascii="Arial" w:hAnsi="Arial" w:cs="Arial"/>
          <w:sz w:val="24"/>
          <w:szCs w:val="24"/>
        </w:rPr>
        <w:t xml:space="preserve">123669 predmeta </w:t>
      </w:r>
      <w:r w:rsidR="00E10C8B">
        <w:rPr>
          <w:rFonts w:ascii="Arial" w:hAnsi="Arial" w:cs="Arial"/>
          <w:sz w:val="24"/>
          <w:szCs w:val="24"/>
        </w:rPr>
        <w:t xml:space="preserve">je </w:t>
      </w:r>
      <w:r w:rsidR="000E4AC1" w:rsidRPr="00071507">
        <w:rPr>
          <w:rFonts w:ascii="Arial" w:hAnsi="Arial" w:cs="Arial"/>
          <w:sz w:val="24"/>
          <w:szCs w:val="24"/>
        </w:rPr>
        <w:t>kontrolisano</w:t>
      </w:r>
      <w:r w:rsidR="00845C8D" w:rsidRPr="00071507">
        <w:rPr>
          <w:rFonts w:ascii="Arial" w:hAnsi="Arial" w:cs="Arial"/>
          <w:sz w:val="24"/>
          <w:szCs w:val="24"/>
        </w:rPr>
        <w:t xml:space="preserve"> </w:t>
      </w:r>
      <w:r w:rsidR="000E4AC1" w:rsidRPr="00071507">
        <w:rPr>
          <w:rFonts w:ascii="Arial" w:hAnsi="Arial" w:cs="Arial"/>
          <w:sz w:val="24"/>
          <w:szCs w:val="24"/>
        </w:rPr>
        <w:t>ili je utvrđeno da isti ne podliježu kontroli zakonitosti korištenja prava</w:t>
      </w:r>
      <w:r w:rsidR="00845C8D" w:rsidRPr="00071507">
        <w:rPr>
          <w:rFonts w:ascii="Arial" w:hAnsi="Arial" w:cs="Arial"/>
          <w:sz w:val="24"/>
          <w:szCs w:val="24"/>
        </w:rPr>
        <w:t xml:space="preserve">, te da je ostalo </w:t>
      </w:r>
      <w:r w:rsidR="00466292" w:rsidRPr="00071507">
        <w:rPr>
          <w:rFonts w:ascii="Arial" w:hAnsi="Arial" w:cs="Arial"/>
          <w:sz w:val="24"/>
          <w:szCs w:val="24"/>
        </w:rPr>
        <w:t>17386</w:t>
      </w:r>
      <w:r w:rsidR="00845C8D" w:rsidRPr="00071507">
        <w:rPr>
          <w:rFonts w:ascii="Arial" w:hAnsi="Arial" w:cs="Arial"/>
          <w:sz w:val="24"/>
          <w:szCs w:val="24"/>
        </w:rPr>
        <w:t xml:space="preserve"> predmeta </w:t>
      </w:r>
      <w:r w:rsidR="000E4AC1" w:rsidRPr="00071507">
        <w:rPr>
          <w:rFonts w:ascii="Arial" w:hAnsi="Arial" w:cs="Arial"/>
          <w:sz w:val="24"/>
          <w:szCs w:val="24"/>
        </w:rPr>
        <w:t xml:space="preserve">za </w:t>
      </w:r>
      <w:r w:rsidR="00845C8D" w:rsidRPr="00071507">
        <w:rPr>
          <w:rFonts w:ascii="Arial" w:hAnsi="Arial" w:cs="Arial"/>
          <w:sz w:val="24"/>
          <w:szCs w:val="24"/>
        </w:rPr>
        <w:t>kontrol</w:t>
      </w:r>
      <w:r w:rsidR="000E4AC1" w:rsidRPr="00071507">
        <w:rPr>
          <w:rFonts w:ascii="Arial" w:hAnsi="Arial" w:cs="Arial"/>
          <w:sz w:val="24"/>
          <w:szCs w:val="24"/>
        </w:rPr>
        <w:t>u</w:t>
      </w:r>
      <w:r w:rsidR="00845C8D" w:rsidRPr="00071507">
        <w:rPr>
          <w:rFonts w:ascii="Arial" w:hAnsi="Arial" w:cs="Arial"/>
          <w:sz w:val="24"/>
          <w:szCs w:val="24"/>
        </w:rPr>
        <w:t xml:space="preserve"> u skladu sa odredbama Zakona o reviziji. </w:t>
      </w:r>
      <w:r>
        <w:rPr>
          <w:rFonts w:ascii="Arial" w:hAnsi="Arial" w:cs="Arial"/>
          <w:sz w:val="24"/>
          <w:szCs w:val="24"/>
        </w:rPr>
        <w:t xml:space="preserve">Vršeći sravnjenje podataka između Sektora za budžet i finansije i Grupe za </w:t>
      </w:r>
      <w:r w:rsidR="009774E5">
        <w:rPr>
          <w:rFonts w:ascii="Arial" w:hAnsi="Arial" w:cs="Arial"/>
          <w:sz w:val="24"/>
          <w:szCs w:val="24"/>
        </w:rPr>
        <w:t xml:space="preserve">informatičku </w:t>
      </w:r>
      <w:r>
        <w:rPr>
          <w:rFonts w:ascii="Arial" w:hAnsi="Arial" w:cs="Arial"/>
          <w:sz w:val="24"/>
          <w:szCs w:val="24"/>
        </w:rPr>
        <w:t>podršku reviziji utvrđeno je da u ovom brojnom stanju nije uračunato 8</w:t>
      </w:r>
      <w:r w:rsidR="00E10C8B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predmeta lične invalidnine(mirnodopski vojni invalidi) u kojim treba izvršiti kontrolu od strane revizorskih timova. Dodavanjem ovog broja na broj predmeta lične invalidnine koji nisu pregledani(1634) dolazi se do broja od 2507 predmeta u kojim nije izvršena kontrola i do broja od 52 938 predmeta lične invalidnine u kojim je okončana kontrola od strane revizorskih timova, a sve na dan 31.12.2016. godine. </w:t>
      </w:r>
      <w:r w:rsidR="00E10C8B">
        <w:rPr>
          <w:rFonts w:ascii="Arial" w:hAnsi="Arial" w:cs="Arial"/>
          <w:sz w:val="24"/>
          <w:szCs w:val="24"/>
        </w:rPr>
        <w:t>Dodavanjem ovog broja(873) proizilazi da je stvarno stanje</w:t>
      </w:r>
      <w:r w:rsidR="00F001F5">
        <w:rPr>
          <w:rFonts w:ascii="Arial" w:hAnsi="Arial" w:cs="Arial"/>
          <w:sz w:val="24"/>
          <w:szCs w:val="24"/>
        </w:rPr>
        <w:t>, na dan 31.12.2016. godine,</w:t>
      </w:r>
      <w:r w:rsidR="00E10C8B">
        <w:rPr>
          <w:rFonts w:ascii="Arial" w:hAnsi="Arial" w:cs="Arial"/>
          <w:sz w:val="24"/>
          <w:szCs w:val="24"/>
        </w:rPr>
        <w:t xml:space="preserve"> ukupno pregledanih predmeta 122832</w:t>
      </w:r>
      <w:r w:rsidR="00F001F5">
        <w:rPr>
          <w:rFonts w:ascii="Arial" w:hAnsi="Arial" w:cs="Arial"/>
          <w:sz w:val="24"/>
          <w:szCs w:val="24"/>
        </w:rPr>
        <w:t xml:space="preserve">, ostalo za pregled 18223. </w:t>
      </w:r>
      <w:r w:rsidR="00845C8D" w:rsidRPr="00071507">
        <w:rPr>
          <w:rFonts w:ascii="Arial" w:hAnsi="Arial" w:cs="Arial"/>
          <w:sz w:val="24"/>
          <w:szCs w:val="24"/>
        </w:rPr>
        <w:t>Analizirajući naprijed naveden</w:t>
      </w:r>
      <w:r w:rsidR="00493B15" w:rsidRPr="00071507">
        <w:rPr>
          <w:rFonts w:ascii="Arial" w:hAnsi="Arial" w:cs="Arial"/>
          <w:sz w:val="24"/>
          <w:szCs w:val="24"/>
        </w:rPr>
        <w:t>e pokazatelje</w:t>
      </w:r>
      <w:r w:rsidR="00F001F5">
        <w:rPr>
          <w:rFonts w:ascii="Arial" w:hAnsi="Arial" w:cs="Arial"/>
          <w:sz w:val="24"/>
          <w:szCs w:val="24"/>
        </w:rPr>
        <w:t xml:space="preserve"> o pregledanim i ostalim za pregled</w:t>
      </w:r>
      <w:r w:rsidR="00466292" w:rsidRPr="00071507">
        <w:rPr>
          <w:rFonts w:ascii="Arial" w:hAnsi="Arial" w:cs="Arial"/>
          <w:sz w:val="24"/>
          <w:szCs w:val="24"/>
        </w:rPr>
        <w:t xml:space="preserve"> </w:t>
      </w:r>
      <w:r w:rsidR="00845C8D" w:rsidRPr="00071507">
        <w:rPr>
          <w:rFonts w:ascii="Arial" w:hAnsi="Arial" w:cs="Arial"/>
          <w:sz w:val="24"/>
          <w:szCs w:val="24"/>
        </w:rPr>
        <w:t>na dan 3</w:t>
      </w:r>
      <w:r w:rsidR="003A26FD" w:rsidRPr="00071507">
        <w:rPr>
          <w:rFonts w:ascii="Arial" w:hAnsi="Arial" w:cs="Arial"/>
          <w:sz w:val="24"/>
          <w:szCs w:val="24"/>
        </w:rPr>
        <w:t>1</w:t>
      </w:r>
      <w:r w:rsidR="00845C8D" w:rsidRPr="00071507">
        <w:rPr>
          <w:rFonts w:ascii="Arial" w:hAnsi="Arial" w:cs="Arial"/>
          <w:sz w:val="24"/>
          <w:szCs w:val="24"/>
        </w:rPr>
        <w:t>.</w:t>
      </w:r>
      <w:r w:rsidR="00466292" w:rsidRPr="00071507">
        <w:rPr>
          <w:rFonts w:ascii="Arial" w:hAnsi="Arial" w:cs="Arial"/>
          <w:sz w:val="24"/>
          <w:szCs w:val="24"/>
        </w:rPr>
        <w:t>3</w:t>
      </w:r>
      <w:r w:rsidR="00845C8D" w:rsidRPr="00071507">
        <w:rPr>
          <w:rFonts w:ascii="Arial" w:hAnsi="Arial" w:cs="Arial"/>
          <w:sz w:val="24"/>
          <w:szCs w:val="24"/>
        </w:rPr>
        <w:t>.201</w:t>
      </w:r>
      <w:r w:rsidR="00466292" w:rsidRPr="00071507">
        <w:rPr>
          <w:rFonts w:ascii="Arial" w:hAnsi="Arial" w:cs="Arial"/>
          <w:sz w:val="24"/>
          <w:szCs w:val="24"/>
        </w:rPr>
        <w:t>7</w:t>
      </w:r>
      <w:r w:rsidR="00845C8D" w:rsidRPr="00071507">
        <w:rPr>
          <w:rFonts w:ascii="Arial" w:hAnsi="Arial" w:cs="Arial"/>
          <w:sz w:val="24"/>
          <w:szCs w:val="24"/>
        </w:rPr>
        <w:t>. godine</w:t>
      </w:r>
      <w:r w:rsidR="00493B15" w:rsidRPr="00071507">
        <w:rPr>
          <w:rFonts w:ascii="Arial" w:hAnsi="Arial" w:cs="Arial"/>
          <w:sz w:val="24"/>
          <w:szCs w:val="24"/>
        </w:rPr>
        <w:t>,</w:t>
      </w:r>
      <w:r w:rsidR="00845C8D" w:rsidRPr="00071507">
        <w:rPr>
          <w:rFonts w:ascii="Arial" w:hAnsi="Arial" w:cs="Arial"/>
          <w:sz w:val="24"/>
          <w:szCs w:val="24"/>
        </w:rPr>
        <w:t xml:space="preserve"> proizilazi da je za </w:t>
      </w:r>
      <w:r w:rsidR="00466292" w:rsidRPr="00071507">
        <w:rPr>
          <w:rFonts w:ascii="Arial" w:hAnsi="Arial" w:cs="Arial"/>
          <w:sz w:val="24"/>
          <w:szCs w:val="24"/>
        </w:rPr>
        <w:t>I kvartal</w:t>
      </w:r>
      <w:r w:rsidR="00845C8D" w:rsidRPr="00071507">
        <w:rPr>
          <w:rFonts w:ascii="Arial" w:hAnsi="Arial" w:cs="Arial"/>
          <w:sz w:val="24"/>
          <w:szCs w:val="24"/>
        </w:rPr>
        <w:t xml:space="preserve"> </w:t>
      </w:r>
      <w:r w:rsidR="003A26FD" w:rsidRPr="00071507">
        <w:rPr>
          <w:rFonts w:ascii="Arial" w:hAnsi="Arial" w:cs="Arial"/>
          <w:sz w:val="24"/>
          <w:szCs w:val="24"/>
        </w:rPr>
        <w:t>201</w:t>
      </w:r>
      <w:r w:rsidR="000E4AC1" w:rsidRPr="00071507">
        <w:rPr>
          <w:rFonts w:ascii="Arial" w:hAnsi="Arial" w:cs="Arial"/>
          <w:sz w:val="24"/>
          <w:szCs w:val="24"/>
        </w:rPr>
        <w:t>7</w:t>
      </w:r>
      <w:r w:rsidR="003A26FD" w:rsidRPr="00071507">
        <w:rPr>
          <w:rFonts w:ascii="Arial" w:hAnsi="Arial" w:cs="Arial"/>
          <w:sz w:val="24"/>
          <w:szCs w:val="24"/>
        </w:rPr>
        <w:t>. godine</w:t>
      </w:r>
      <w:r w:rsidR="00845C8D" w:rsidRPr="00071507">
        <w:rPr>
          <w:rFonts w:ascii="Arial" w:hAnsi="Arial" w:cs="Arial"/>
          <w:sz w:val="24"/>
          <w:szCs w:val="24"/>
        </w:rPr>
        <w:t xml:space="preserve"> broj predmeta koje treba kontrolisati smanjen za </w:t>
      </w:r>
      <w:r w:rsidR="00F001F5">
        <w:rPr>
          <w:rFonts w:ascii="Arial" w:hAnsi="Arial" w:cs="Arial"/>
          <w:sz w:val="24"/>
          <w:szCs w:val="24"/>
        </w:rPr>
        <w:t>6503</w:t>
      </w:r>
      <w:r w:rsidR="00845C8D" w:rsidRPr="00071507">
        <w:rPr>
          <w:rFonts w:ascii="Arial" w:hAnsi="Arial" w:cs="Arial"/>
          <w:sz w:val="24"/>
          <w:szCs w:val="24"/>
        </w:rPr>
        <w:t>.</w:t>
      </w:r>
      <w:r w:rsidR="00845C8D" w:rsidRPr="0073303E">
        <w:rPr>
          <w:rFonts w:ascii="Arial" w:hAnsi="Arial" w:cs="Arial"/>
          <w:b/>
          <w:sz w:val="24"/>
          <w:szCs w:val="24"/>
        </w:rPr>
        <w:t xml:space="preserve"> </w:t>
      </w: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07150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76A28" w:rsidRDefault="00776A28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lastRenderedPageBreak/>
        <w:t xml:space="preserve">Po podacima Federalnog zavoda za PIO/MIO zaključno sa </w:t>
      </w:r>
      <w:r w:rsidR="00071507">
        <w:rPr>
          <w:rFonts w:ascii="Arial" w:hAnsi="Arial" w:cs="Arial"/>
          <w:sz w:val="24"/>
          <w:szCs w:val="24"/>
        </w:rPr>
        <w:t>trećim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201</w:t>
      </w:r>
      <w:r w:rsidR="00071507">
        <w:rPr>
          <w:rFonts w:ascii="Arial" w:hAnsi="Arial" w:cs="Arial"/>
          <w:sz w:val="24"/>
          <w:szCs w:val="24"/>
        </w:rPr>
        <w:t>7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-102</w:t>
      </w:r>
      <w:r w:rsidR="00071507">
        <w:rPr>
          <w:rFonts w:ascii="Arial" w:hAnsi="Arial" w:cs="Arial"/>
          <w:sz w:val="24"/>
          <w:szCs w:val="24"/>
        </w:rPr>
        <w:t>31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</w:t>
      </w:r>
      <w:r w:rsidR="00071507">
        <w:rPr>
          <w:rFonts w:ascii="Arial" w:hAnsi="Arial" w:cs="Arial"/>
          <w:sz w:val="24"/>
          <w:szCs w:val="24"/>
        </w:rPr>
        <w:t>2053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071507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-4</w:t>
      </w:r>
      <w:r w:rsidR="00071507">
        <w:rPr>
          <w:rFonts w:ascii="Arial" w:hAnsi="Arial" w:cs="Arial"/>
          <w:sz w:val="24"/>
          <w:szCs w:val="24"/>
        </w:rPr>
        <w:t>750</w:t>
      </w:r>
      <w:r w:rsidRPr="00700989">
        <w:rPr>
          <w:rFonts w:ascii="Arial" w:hAnsi="Arial" w:cs="Arial"/>
          <w:sz w:val="24"/>
          <w:szCs w:val="24"/>
        </w:rPr>
        <w:t xml:space="preserve"> penzija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</w:t>
      </w:r>
      <w:r w:rsidR="00071507">
        <w:rPr>
          <w:rFonts w:ascii="Arial" w:hAnsi="Arial" w:cs="Arial"/>
          <w:sz w:val="24"/>
          <w:szCs w:val="24"/>
        </w:rPr>
        <w:t>262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071507">
        <w:rPr>
          <w:rFonts w:ascii="Arial" w:hAnsi="Arial" w:cs="Arial"/>
          <w:sz w:val="24"/>
          <w:szCs w:val="24"/>
        </w:rPr>
        <w:t>5004</w:t>
      </w:r>
      <w:r w:rsidRPr="00700989">
        <w:rPr>
          <w:rFonts w:ascii="Arial" w:hAnsi="Arial" w:cs="Arial"/>
          <w:sz w:val="24"/>
          <w:szCs w:val="24"/>
        </w:rPr>
        <w:t xml:space="preserve"> korisnik ispunio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F50308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i članova njihovih porodica, </w:t>
      </w:r>
      <w:r w:rsidR="002D654E">
        <w:rPr>
          <w:rFonts w:ascii="Arial" w:hAnsi="Arial" w:cs="Arial"/>
          <w:sz w:val="24"/>
          <w:szCs w:val="24"/>
        </w:rPr>
        <w:t xml:space="preserve">prelasci iz lične u porodičnu invalidninu,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73061C">
        <w:rPr>
          <w:rFonts w:ascii="Arial" w:hAnsi="Arial" w:cs="Arial"/>
          <w:sz w:val="24"/>
          <w:szCs w:val="24"/>
        </w:rPr>
        <w:t xml:space="preserve">ili su ispunili uslove po Zakonu o PIO/MIO </w:t>
      </w:r>
      <w:r w:rsidR="003B56FC">
        <w:rPr>
          <w:rFonts w:ascii="Arial" w:hAnsi="Arial" w:cs="Arial"/>
          <w:sz w:val="24"/>
          <w:szCs w:val="24"/>
        </w:rPr>
        <w:t>za koji će biti umanjen ukupan broj predmeta iz rubrike “ostaje”</w:t>
      </w:r>
      <w:r w:rsidR="00EC25C6">
        <w:rPr>
          <w:rFonts w:ascii="Arial" w:hAnsi="Arial" w:cs="Arial"/>
          <w:sz w:val="24"/>
          <w:szCs w:val="24"/>
        </w:rPr>
        <w:t xml:space="preserve">, te da će ovo Ministarstvo </w:t>
      </w:r>
      <w:r w:rsidR="00E7186E">
        <w:rPr>
          <w:rFonts w:ascii="Arial" w:hAnsi="Arial" w:cs="Arial"/>
          <w:sz w:val="24"/>
          <w:szCs w:val="24"/>
        </w:rPr>
        <w:t xml:space="preserve">i u narednom period poduzimati </w:t>
      </w:r>
      <w:r w:rsidR="00EC25C6">
        <w:rPr>
          <w:rFonts w:ascii="Arial" w:hAnsi="Arial" w:cs="Arial"/>
          <w:sz w:val="24"/>
          <w:szCs w:val="24"/>
        </w:rPr>
        <w:t xml:space="preserve">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 xml:space="preserve">kako bi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73061C">
        <w:rPr>
          <w:rFonts w:ascii="Arial" w:hAnsi="Arial" w:cs="Arial"/>
          <w:sz w:val="24"/>
          <w:szCs w:val="24"/>
        </w:rPr>
        <w:t xml:space="preserve">. </w:t>
      </w: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1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73303E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AB4F97">
        <w:rPr>
          <w:rFonts w:ascii="Arial" w:hAnsi="Arial" w:cs="Arial"/>
          <w:b/>
          <w:sz w:val="24"/>
          <w:szCs w:val="24"/>
        </w:rPr>
        <w:t xml:space="preserve">  i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1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 dostavljenih zapisnika revizorskih timova Grupi za administrativno-tehničku podršku reviziji</w:t>
      </w:r>
      <w:r w:rsidR="000D57EE">
        <w:rPr>
          <w:rFonts w:ascii="Arial" w:hAnsi="Arial" w:cs="Arial"/>
          <w:b/>
          <w:sz w:val="24"/>
          <w:szCs w:val="24"/>
        </w:rPr>
        <w:t xml:space="preserve"> </w:t>
      </w:r>
      <w:r w:rsidR="00432A20" w:rsidRPr="00C6758C">
        <w:rPr>
          <w:rFonts w:ascii="Arial" w:hAnsi="Arial" w:cs="Arial"/>
          <w:b/>
          <w:sz w:val="24"/>
          <w:szCs w:val="24"/>
        </w:rPr>
        <w:t>od početka revizije do 3</w:t>
      </w:r>
      <w:r w:rsidR="00E7186E">
        <w:rPr>
          <w:rFonts w:ascii="Arial" w:hAnsi="Arial" w:cs="Arial"/>
          <w:b/>
          <w:sz w:val="24"/>
          <w:szCs w:val="24"/>
        </w:rPr>
        <w:t>1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0D57EE">
        <w:rPr>
          <w:rFonts w:ascii="Arial" w:hAnsi="Arial" w:cs="Arial"/>
          <w:b/>
          <w:sz w:val="24"/>
          <w:szCs w:val="24"/>
        </w:rPr>
        <w:t>3</w:t>
      </w:r>
      <w:r w:rsidR="00432A20" w:rsidRPr="00C6758C">
        <w:rPr>
          <w:rFonts w:ascii="Arial" w:hAnsi="Arial" w:cs="Arial"/>
          <w:b/>
          <w:sz w:val="24"/>
          <w:szCs w:val="24"/>
        </w:rPr>
        <w:t>.201</w:t>
      </w:r>
      <w:r w:rsidR="000D57EE">
        <w:rPr>
          <w:rFonts w:ascii="Arial" w:hAnsi="Arial" w:cs="Arial"/>
          <w:b/>
          <w:sz w:val="24"/>
          <w:szCs w:val="24"/>
        </w:rPr>
        <w:t>7</w:t>
      </w:r>
      <w:r w:rsidR="00432A20" w:rsidRPr="00C6758C">
        <w:rPr>
          <w:rFonts w:ascii="Arial" w:hAnsi="Arial" w:cs="Arial"/>
          <w:b/>
          <w:sz w:val="24"/>
          <w:szCs w:val="24"/>
        </w:rPr>
        <w:t>. godine.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i Grupi za administrativno-tehničku podršku reviziji od početka primjene </w:t>
      </w:r>
      <w:r w:rsidR="000D57EE">
        <w:rPr>
          <w:rFonts w:ascii="Arial" w:hAnsi="Arial" w:cs="Arial"/>
          <w:sz w:val="24"/>
          <w:szCs w:val="24"/>
        </w:rPr>
        <w:t>Z</w:t>
      </w:r>
      <w:r w:rsidR="006B42D8" w:rsidRPr="00C6758C">
        <w:rPr>
          <w:rFonts w:ascii="Arial" w:hAnsi="Arial" w:cs="Arial"/>
          <w:sz w:val="24"/>
          <w:szCs w:val="24"/>
        </w:rPr>
        <w:t>akona o reviziji do 3</w:t>
      </w:r>
      <w:r w:rsidR="00E7186E">
        <w:rPr>
          <w:rFonts w:ascii="Arial" w:hAnsi="Arial" w:cs="Arial"/>
          <w:sz w:val="24"/>
          <w:szCs w:val="24"/>
        </w:rPr>
        <w:t>1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0D57EE">
        <w:rPr>
          <w:rFonts w:ascii="Arial" w:hAnsi="Arial" w:cs="Arial"/>
          <w:sz w:val="24"/>
          <w:szCs w:val="24"/>
        </w:rPr>
        <w:t>3</w:t>
      </w:r>
      <w:r w:rsidR="006B42D8" w:rsidRPr="00C6758C">
        <w:rPr>
          <w:rFonts w:ascii="Arial" w:hAnsi="Arial" w:cs="Arial"/>
          <w:sz w:val="24"/>
          <w:szCs w:val="24"/>
        </w:rPr>
        <w:t>.201</w:t>
      </w:r>
      <w:r w:rsidR="000D57EE">
        <w:rPr>
          <w:rFonts w:ascii="Arial" w:hAnsi="Arial" w:cs="Arial"/>
          <w:sz w:val="24"/>
          <w:szCs w:val="24"/>
        </w:rPr>
        <w:t>7</w:t>
      </w:r>
      <w:r w:rsidR="006B42D8" w:rsidRPr="00C6758C">
        <w:rPr>
          <w:rFonts w:ascii="Arial" w:hAnsi="Arial" w:cs="Arial"/>
          <w:sz w:val="24"/>
          <w:szCs w:val="24"/>
        </w:rPr>
        <w:t xml:space="preserve">. godine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 xml:space="preserve">ukupno </w:t>
      </w:r>
      <w:r w:rsidR="000D57EE">
        <w:rPr>
          <w:rFonts w:ascii="Arial" w:hAnsi="Arial" w:cs="Arial"/>
          <w:sz w:val="24"/>
          <w:szCs w:val="24"/>
        </w:rPr>
        <w:t>160110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7C443E" w:rsidRPr="00C6758C">
        <w:rPr>
          <w:rFonts w:ascii="Arial" w:hAnsi="Arial" w:cs="Arial"/>
          <w:sz w:val="24"/>
          <w:szCs w:val="24"/>
        </w:rPr>
        <w:t>1</w:t>
      </w:r>
      <w:r w:rsidR="00E7186E">
        <w:rPr>
          <w:rFonts w:ascii="Arial" w:hAnsi="Arial" w:cs="Arial"/>
          <w:sz w:val="24"/>
          <w:szCs w:val="24"/>
        </w:rPr>
        <w:t>2</w:t>
      </w:r>
      <w:r w:rsidR="000D57EE">
        <w:rPr>
          <w:rFonts w:ascii="Arial" w:hAnsi="Arial" w:cs="Arial"/>
          <w:sz w:val="24"/>
          <w:szCs w:val="24"/>
        </w:rPr>
        <w:t>7479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D13A74">
        <w:rPr>
          <w:rFonts w:ascii="Arial" w:hAnsi="Arial" w:cs="Arial"/>
          <w:sz w:val="24"/>
          <w:szCs w:val="24"/>
        </w:rPr>
        <w:t>1</w:t>
      </w:r>
      <w:r w:rsidR="000D57EE">
        <w:rPr>
          <w:rFonts w:ascii="Arial" w:hAnsi="Arial" w:cs="Arial"/>
          <w:sz w:val="24"/>
          <w:szCs w:val="24"/>
        </w:rPr>
        <w:t>896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D57EE">
        <w:rPr>
          <w:rFonts w:ascii="Arial" w:hAnsi="Arial" w:cs="Arial"/>
          <w:sz w:val="24"/>
          <w:szCs w:val="24"/>
        </w:rPr>
        <w:t>4297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="000D57E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sa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1</w:t>
      </w:r>
      <w:r w:rsidR="000D57EE">
        <w:rPr>
          <w:rFonts w:ascii="Arial" w:hAnsi="Arial" w:cs="Arial"/>
          <w:sz w:val="24"/>
          <w:szCs w:val="24"/>
        </w:rPr>
        <w:t>896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0D57EE">
        <w:rPr>
          <w:rFonts w:ascii="Arial" w:hAnsi="Arial" w:cs="Arial"/>
          <w:sz w:val="24"/>
          <w:szCs w:val="24"/>
        </w:rPr>
        <w:t>1257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>u kojim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0D57EE">
        <w:rPr>
          <w:rFonts w:ascii="Arial" w:hAnsi="Arial" w:cs="Arial"/>
          <w:sz w:val="24"/>
          <w:szCs w:val="24"/>
        </w:rPr>
        <w:t>1447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2D654E">
        <w:rPr>
          <w:rFonts w:ascii="Arial" w:hAnsi="Arial" w:cs="Arial"/>
          <w:sz w:val="24"/>
          <w:szCs w:val="24"/>
        </w:rPr>
        <w:t>a</w:t>
      </w:r>
      <w:r w:rsidR="000D57EE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u koj</w:t>
      </w:r>
      <w:r w:rsidR="00E7186E">
        <w:rPr>
          <w:rFonts w:ascii="Arial" w:hAnsi="Arial" w:cs="Arial"/>
          <w:sz w:val="24"/>
          <w:szCs w:val="24"/>
        </w:rPr>
        <w:t>i</w:t>
      </w:r>
      <w:r w:rsidR="006B42D8" w:rsidRPr="00C6758C">
        <w:rPr>
          <w:rFonts w:ascii="Arial" w:hAnsi="Arial" w:cs="Arial"/>
          <w:sz w:val="24"/>
          <w:szCs w:val="24"/>
        </w:rPr>
        <w:t xml:space="preserve">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te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D57EE">
        <w:rPr>
          <w:rFonts w:ascii="Arial" w:hAnsi="Arial" w:cs="Arial"/>
          <w:sz w:val="24"/>
          <w:szCs w:val="24"/>
        </w:rPr>
        <w:t xml:space="preserve">10053 </w:t>
      </w:r>
      <w:r w:rsidRPr="00C6758C">
        <w:rPr>
          <w:rFonts w:ascii="Arial" w:hAnsi="Arial" w:cs="Arial"/>
          <w:sz w:val="24"/>
          <w:szCs w:val="24"/>
        </w:rPr>
        <w:t>zapisnika u kojim je konstatirano da je u kontrolisanim predmetima neophodno izvršiti dodatne provjere,</w:t>
      </w:r>
    </w:p>
    <w:p w:rsidR="007C443E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186E">
        <w:rPr>
          <w:rFonts w:ascii="Arial" w:hAnsi="Arial" w:cs="Arial"/>
          <w:sz w:val="24"/>
          <w:szCs w:val="24"/>
        </w:rPr>
        <w:t>9</w:t>
      </w:r>
      <w:r w:rsidR="000D57EE">
        <w:rPr>
          <w:rFonts w:ascii="Arial" w:hAnsi="Arial" w:cs="Arial"/>
          <w:sz w:val="24"/>
          <w:szCs w:val="24"/>
        </w:rPr>
        <w:t>943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ukojim su revizorski timovi započeli kontrolu i konstatovali da su predmeti ustupljeni drugim organima zbog postupka žalbe, upravnih sporova, inspekcijskog nadzora ili radi revizije u kantonalnim ministarstvima - član 41. Zakona o pravima branilaca i </w:t>
      </w:r>
      <w:r w:rsidRPr="00C6758C">
        <w:rPr>
          <w:rFonts w:ascii="Arial" w:hAnsi="Arial" w:cs="Arial"/>
          <w:sz w:val="24"/>
          <w:szCs w:val="24"/>
        </w:rPr>
        <w:lastRenderedPageBreak/>
        <w:t>članova njihovih porodica</w:t>
      </w:r>
      <w:r w:rsidR="00E7186E">
        <w:rPr>
          <w:rFonts w:ascii="Arial" w:hAnsi="Arial" w:cs="Arial"/>
          <w:sz w:val="24"/>
          <w:szCs w:val="24"/>
        </w:rPr>
        <w:t xml:space="preserve">, da je postupak kontrole okončan ranije ali da isti nije evidentiran </w:t>
      </w:r>
      <w:r w:rsidRPr="00C6758C">
        <w:rPr>
          <w:rFonts w:ascii="Arial" w:hAnsi="Arial" w:cs="Arial"/>
          <w:sz w:val="24"/>
          <w:szCs w:val="24"/>
        </w:rPr>
        <w:t xml:space="preserve"> ili</w:t>
      </w:r>
      <w:r w:rsidR="000D57EE">
        <w:rPr>
          <w:rFonts w:ascii="Arial" w:hAnsi="Arial" w:cs="Arial"/>
          <w:sz w:val="24"/>
          <w:szCs w:val="24"/>
        </w:rPr>
        <w:t xml:space="preserve"> 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AB4F97" w:rsidRDefault="00AB4F9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2.2.02. Saradnja sa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sa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godine u svrhu provođenja Zakona o reviziji saradnja sa Arhivskim depoom počela je 6.8.2010. godine. </w:t>
      </w:r>
    </w:p>
    <w:p w:rsidR="00641C67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početka revizije do 3</w:t>
      </w:r>
      <w:r w:rsidR="00E7186E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E67D2D">
        <w:rPr>
          <w:rFonts w:ascii="Arial" w:hAnsi="Arial" w:cs="Arial"/>
          <w:sz w:val="24"/>
          <w:szCs w:val="24"/>
        </w:rPr>
        <w:t>3.</w:t>
      </w:r>
      <w:r w:rsidRPr="00C6758C">
        <w:rPr>
          <w:rFonts w:ascii="Arial" w:hAnsi="Arial" w:cs="Arial"/>
          <w:sz w:val="24"/>
          <w:szCs w:val="24"/>
        </w:rPr>
        <w:t>201</w:t>
      </w:r>
      <w:r w:rsidR="00E67D2D">
        <w:rPr>
          <w:rFonts w:ascii="Arial" w:hAnsi="Arial" w:cs="Arial"/>
          <w:sz w:val="24"/>
          <w:szCs w:val="24"/>
        </w:rPr>
        <w:t>7</w:t>
      </w:r>
      <w:r w:rsidRPr="00C6758C">
        <w:rPr>
          <w:rFonts w:ascii="Arial" w:hAnsi="Arial" w:cs="Arial"/>
          <w:sz w:val="24"/>
          <w:szCs w:val="24"/>
        </w:rPr>
        <w:t>. godine u</w:t>
      </w:r>
      <w:r w:rsidR="00C160EE">
        <w:rPr>
          <w:rFonts w:ascii="Arial" w:hAnsi="Arial" w:cs="Arial"/>
          <w:sz w:val="24"/>
          <w:szCs w:val="24"/>
        </w:rPr>
        <w:t xml:space="preserve"> 6</w:t>
      </w:r>
      <w:r w:rsidR="00E67D2D">
        <w:rPr>
          <w:rFonts w:ascii="Arial" w:hAnsi="Arial" w:cs="Arial"/>
          <w:sz w:val="24"/>
          <w:szCs w:val="24"/>
        </w:rPr>
        <w:t>251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67D2D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E7186E">
        <w:rPr>
          <w:rFonts w:ascii="Arial" w:hAnsi="Arial" w:cs="Arial"/>
          <w:sz w:val="24"/>
          <w:szCs w:val="24"/>
        </w:rPr>
        <w:t>. Od tog broja dostavljena je provjera za 6</w:t>
      </w:r>
      <w:r w:rsidR="00E67D2D">
        <w:rPr>
          <w:rFonts w:ascii="Arial" w:hAnsi="Arial" w:cs="Arial"/>
          <w:sz w:val="24"/>
          <w:szCs w:val="24"/>
        </w:rPr>
        <w:t>204</w:t>
      </w:r>
      <w:r w:rsidR="00E7186E">
        <w:rPr>
          <w:rFonts w:ascii="Arial" w:hAnsi="Arial" w:cs="Arial"/>
          <w:sz w:val="24"/>
          <w:szCs w:val="24"/>
        </w:rPr>
        <w:t xml:space="preserve"> predmeta, dok je </w:t>
      </w:r>
      <w:r w:rsidR="00641C67">
        <w:rPr>
          <w:rFonts w:ascii="Arial" w:hAnsi="Arial" w:cs="Arial"/>
          <w:sz w:val="24"/>
          <w:szCs w:val="24"/>
        </w:rPr>
        <w:t xml:space="preserve">za </w:t>
      </w:r>
      <w:r w:rsidR="00E67D2D">
        <w:rPr>
          <w:rFonts w:ascii="Arial" w:hAnsi="Arial" w:cs="Arial"/>
          <w:sz w:val="24"/>
          <w:szCs w:val="24"/>
        </w:rPr>
        <w:t>47</w:t>
      </w:r>
      <w:r w:rsidR="00641C67">
        <w:rPr>
          <w:rFonts w:ascii="Arial" w:hAnsi="Arial" w:cs="Arial"/>
          <w:sz w:val="24"/>
          <w:szCs w:val="24"/>
        </w:rPr>
        <w:t xml:space="preserve"> predmet provjera u toku. </w:t>
      </w:r>
    </w:p>
    <w:p w:rsidR="00E67D2D" w:rsidRDefault="00914913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Što se tiče predmeta penzija ostvarenih pod povoljnijim uvjetima od početka revizije do 3</w:t>
      </w:r>
      <w:r w:rsidR="00641C67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641C67"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 xml:space="preserve">.2016. godine u </w:t>
      </w:r>
      <w:r w:rsidR="00641C67">
        <w:rPr>
          <w:rFonts w:ascii="Arial" w:hAnsi="Arial" w:cs="Arial"/>
          <w:sz w:val="24"/>
          <w:szCs w:val="24"/>
        </w:rPr>
        <w:t>4081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641C67">
        <w:rPr>
          <w:rFonts w:ascii="Arial" w:hAnsi="Arial" w:cs="Arial"/>
          <w:sz w:val="24"/>
          <w:szCs w:val="24"/>
        </w:rPr>
        <w:t>u</w:t>
      </w:r>
      <w:r w:rsidR="00E67D2D">
        <w:rPr>
          <w:rFonts w:ascii="Arial" w:hAnsi="Arial" w:cs="Arial"/>
          <w:sz w:val="24"/>
          <w:szCs w:val="24"/>
        </w:rPr>
        <w:t xml:space="preserve"> </w:t>
      </w:r>
      <w:r w:rsidR="00641C67">
        <w:rPr>
          <w:rFonts w:ascii="Arial" w:hAnsi="Arial" w:cs="Arial"/>
          <w:sz w:val="24"/>
          <w:szCs w:val="24"/>
        </w:rPr>
        <w:t xml:space="preserve">su </w:t>
      </w:r>
      <w:r w:rsidRPr="00C6758C">
        <w:rPr>
          <w:rFonts w:ascii="Arial" w:hAnsi="Arial" w:cs="Arial"/>
          <w:sz w:val="24"/>
          <w:szCs w:val="24"/>
        </w:rPr>
        <w:t>upućeni zahtjevi za provjer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podataka</w:t>
      </w:r>
      <w:r w:rsidR="00641C67">
        <w:rPr>
          <w:rFonts w:ascii="Arial" w:hAnsi="Arial" w:cs="Arial"/>
          <w:sz w:val="24"/>
          <w:szCs w:val="24"/>
        </w:rPr>
        <w:t>. Od tog broja dostavljena je provjera za 40</w:t>
      </w:r>
      <w:r w:rsidR="00E67D2D">
        <w:rPr>
          <w:rFonts w:ascii="Arial" w:hAnsi="Arial" w:cs="Arial"/>
          <w:sz w:val="24"/>
          <w:szCs w:val="24"/>
        </w:rPr>
        <w:t>81</w:t>
      </w:r>
      <w:r w:rsidR="00641C67">
        <w:rPr>
          <w:rFonts w:ascii="Arial" w:hAnsi="Arial" w:cs="Arial"/>
          <w:sz w:val="24"/>
          <w:szCs w:val="24"/>
        </w:rPr>
        <w:t xml:space="preserve"> predmet</w:t>
      </w:r>
      <w:r w:rsidR="00E67D2D">
        <w:rPr>
          <w:rFonts w:ascii="Arial" w:hAnsi="Arial" w:cs="Arial"/>
          <w:sz w:val="24"/>
          <w:szCs w:val="24"/>
        </w:rPr>
        <w:t>.</w:t>
      </w:r>
    </w:p>
    <w:p w:rsidR="003B47B9" w:rsidRDefault="003B47B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Od početka revizije ukupno je u </w:t>
      </w:r>
      <w:r w:rsidR="00641C67">
        <w:rPr>
          <w:rFonts w:ascii="Arial" w:hAnsi="Arial" w:cs="Arial"/>
          <w:sz w:val="24"/>
          <w:szCs w:val="24"/>
        </w:rPr>
        <w:t>10</w:t>
      </w:r>
      <w:r w:rsidR="00E67D2D">
        <w:rPr>
          <w:rFonts w:ascii="Arial" w:hAnsi="Arial" w:cs="Arial"/>
          <w:sz w:val="24"/>
          <w:szCs w:val="24"/>
        </w:rPr>
        <w:t>332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C084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upućen zahtjev za provjeru, od tog broja u </w:t>
      </w:r>
      <w:r w:rsidR="002B3A20">
        <w:rPr>
          <w:rFonts w:ascii="Arial" w:hAnsi="Arial" w:cs="Arial"/>
          <w:sz w:val="24"/>
          <w:szCs w:val="24"/>
        </w:rPr>
        <w:t>102</w:t>
      </w:r>
      <w:r w:rsidR="00E67D2D">
        <w:rPr>
          <w:rFonts w:ascii="Arial" w:hAnsi="Arial" w:cs="Arial"/>
          <w:sz w:val="24"/>
          <w:szCs w:val="24"/>
        </w:rPr>
        <w:t>85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E67D2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</w:t>
      </w:r>
      <w:r w:rsidR="00641C67">
        <w:rPr>
          <w:rFonts w:ascii="Arial" w:hAnsi="Arial" w:cs="Arial"/>
          <w:sz w:val="24"/>
          <w:szCs w:val="24"/>
        </w:rPr>
        <w:t xml:space="preserve">izvršene provjere </w:t>
      </w:r>
      <w:r w:rsidR="002D654E">
        <w:rPr>
          <w:rFonts w:ascii="Arial" w:hAnsi="Arial" w:cs="Arial"/>
          <w:sz w:val="24"/>
          <w:szCs w:val="24"/>
        </w:rPr>
        <w:t>i</w:t>
      </w:r>
      <w:r w:rsidR="00E67D2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dostavljeni odgovori, dok je </w:t>
      </w:r>
      <w:r w:rsidR="00641C67">
        <w:rPr>
          <w:rFonts w:ascii="Arial" w:hAnsi="Arial" w:cs="Arial"/>
          <w:sz w:val="24"/>
          <w:szCs w:val="24"/>
        </w:rPr>
        <w:t xml:space="preserve">za </w:t>
      </w:r>
      <w:r w:rsidR="00E67D2D">
        <w:rPr>
          <w:rFonts w:ascii="Arial" w:hAnsi="Arial" w:cs="Arial"/>
          <w:sz w:val="24"/>
          <w:szCs w:val="24"/>
        </w:rPr>
        <w:t>47</w:t>
      </w:r>
      <w:r w:rsidR="00641C6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</w:t>
      </w:r>
      <w:r w:rsidR="002B3A20">
        <w:rPr>
          <w:rFonts w:ascii="Arial" w:hAnsi="Arial" w:cs="Arial"/>
          <w:sz w:val="24"/>
          <w:szCs w:val="24"/>
        </w:rPr>
        <w:t xml:space="preserve">postupak </w:t>
      </w:r>
      <w:r w:rsidR="00641C67">
        <w:rPr>
          <w:rFonts w:ascii="Arial" w:hAnsi="Arial" w:cs="Arial"/>
          <w:sz w:val="24"/>
          <w:szCs w:val="24"/>
        </w:rPr>
        <w:t>provjere</w:t>
      </w:r>
      <w:r w:rsidRPr="00C6758C">
        <w:rPr>
          <w:rFonts w:ascii="Arial" w:hAnsi="Arial" w:cs="Arial"/>
          <w:sz w:val="24"/>
          <w:szCs w:val="24"/>
        </w:rPr>
        <w:t xml:space="preserve"> u toku.</w:t>
      </w:r>
    </w:p>
    <w:p w:rsidR="00E67D2D" w:rsidRDefault="00E67D2D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 kvartalu 2017. godine ukupno je upućeno 57 zahtjeva za provjeru </w:t>
      </w:r>
      <w:r w:rsidR="001F2F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to sve u predmetima lične invalidnine</w:t>
      </w:r>
      <w:r w:rsidR="001F2F6A">
        <w:rPr>
          <w:rFonts w:ascii="Arial" w:hAnsi="Arial" w:cs="Arial"/>
          <w:sz w:val="24"/>
          <w:szCs w:val="24"/>
        </w:rPr>
        <w:t>. Od tog broja dostavljena je provjera za 11 predmeta, dok je za 46 predmeta provjera u toku.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54E" w:rsidRPr="00C6758C" w:rsidRDefault="002D654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1F2F6A">
        <w:rPr>
          <w:rFonts w:ascii="Arial" w:hAnsi="Arial" w:cs="Arial"/>
          <w:b/>
          <w:sz w:val="24"/>
          <w:szCs w:val="24"/>
        </w:rPr>
        <w:t>januar-mart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. </w:t>
      </w:r>
      <w:r w:rsidR="001F2F6A">
        <w:rPr>
          <w:rFonts w:ascii="Arial" w:hAnsi="Arial" w:cs="Arial"/>
          <w:b/>
          <w:sz w:val="24"/>
          <w:szCs w:val="24"/>
        </w:rPr>
        <w:t>g</w:t>
      </w:r>
      <w:r w:rsidR="00A12B5F" w:rsidRPr="00C6758C">
        <w:rPr>
          <w:rFonts w:ascii="Arial" w:hAnsi="Arial" w:cs="Arial"/>
          <w:b/>
          <w:sz w:val="24"/>
          <w:szCs w:val="24"/>
        </w:rPr>
        <w:t>odine</w:t>
      </w:r>
      <w:r w:rsidR="001F2F6A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E90193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kvartala 201</w:t>
      </w:r>
      <w:r w:rsidR="001F2F6A">
        <w:rPr>
          <w:rFonts w:ascii="Arial" w:hAnsi="Arial" w:cs="Arial"/>
          <w:b/>
          <w:sz w:val="24"/>
          <w:szCs w:val="24"/>
        </w:rPr>
        <w:t>7</w:t>
      </w:r>
      <w:r w:rsidR="00A12B5F" w:rsidRPr="00C6758C">
        <w:rPr>
          <w:rFonts w:ascii="Arial" w:hAnsi="Arial" w:cs="Arial"/>
          <w:b/>
          <w:sz w:val="24"/>
          <w:szCs w:val="24"/>
        </w:rPr>
        <w:t>. godine.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1F2F6A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5007</w:t>
            </w:r>
          </w:p>
        </w:tc>
        <w:tc>
          <w:tcPr>
            <w:tcW w:w="2007" w:type="dxa"/>
          </w:tcPr>
          <w:p w:rsidR="00A12B5F" w:rsidRDefault="001F2F6A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3" w:type="dxa"/>
          </w:tcPr>
          <w:p w:rsidR="00A12B5F" w:rsidRDefault="001F2F6A" w:rsidP="001F2F6A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5015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432A20" w:rsidRPr="00E46520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1F2F6A">
        <w:rPr>
          <w:rFonts w:ascii="Arial" w:hAnsi="Arial" w:cs="Arial"/>
          <w:sz w:val="24"/>
          <w:szCs w:val="24"/>
        </w:rPr>
        <w:t>januar-mart</w:t>
      </w:r>
      <w:r w:rsidRPr="00E46520">
        <w:rPr>
          <w:rFonts w:ascii="Arial" w:hAnsi="Arial" w:cs="Arial"/>
          <w:sz w:val="24"/>
          <w:szCs w:val="24"/>
        </w:rPr>
        <w:t xml:space="preserve"> 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ukupno </w:t>
      </w:r>
      <w:r w:rsidR="001F2F6A">
        <w:rPr>
          <w:rFonts w:ascii="Arial" w:hAnsi="Arial" w:cs="Arial"/>
          <w:sz w:val="24"/>
          <w:szCs w:val="24"/>
        </w:rPr>
        <w:t xml:space="preserve">5007 </w:t>
      </w:r>
      <w:r w:rsidR="00641C67">
        <w:rPr>
          <w:rFonts w:ascii="Arial" w:hAnsi="Arial" w:cs="Arial"/>
          <w:sz w:val="24"/>
          <w:szCs w:val="24"/>
        </w:rPr>
        <w:t>u</w:t>
      </w:r>
      <w:r w:rsidRPr="00E46520">
        <w:rPr>
          <w:rFonts w:ascii="Arial" w:hAnsi="Arial" w:cs="Arial"/>
          <w:sz w:val="24"/>
          <w:szCs w:val="24"/>
        </w:rPr>
        <w:t>vjerenja izdat</w:t>
      </w:r>
      <w:r w:rsidR="008537FE">
        <w:rPr>
          <w:rFonts w:ascii="Arial" w:hAnsi="Arial" w:cs="Arial"/>
          <w:sz w:val="24"/>
          <w:szCs w:val="24"/>
        </w:rPr>
        <w:t>ih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1F2F6A">
        <w:rPr>
          <w:rFonts w:ascii="Arial" w:hAnsi="Arial" w:cs="Arial"/>
          <w:sz w:val="24"/>
          <w:szCs w:val="24"/>
        </w:rPr>
        <w:t xml:space="preserve"> i 8</w:t>
      </w:r>
      <w:r w:rsidR="008537FE">
        <w:rPr>
          <w:rFonts w:ascii="Arial" w:hAnsi="Arial" w:cs="Arial"/>
          <w:sz w:val="24"/>
          <w:szCs w:val="24"/>
        </w:rPr>
        <w:t xml:space="preserve"> Uvjerenja izdat</w:t>
      </w:r>
      <w:r w:rsidR="001F2F6A">
        <w:rPr>
          <w:rFonts w:ascii="Arial" w:hAnsi="Arial" w:cs="Arial"/>
          <w:sz w:val="24"/>
          <w:szCs w:val="24"/>
        </w:rPr>
        <w:t>ih</w:t>
      </w:r>
      <w:r w:rsidR="008537FE">
        <w:rPr>
          <w:rFonts w:ascii="Arial" w:hAnsi="Arial" w:cs="Arial"/>
          <w:sz w:val="24"/>
          <w:szCs w:val="24"/>
        </w:rPr>
        <w:t xml:space="preserve"> na obrascu FMB 2</w:t>
      </w:r>
      <w:r w:rsidR="00E411DA">
        <w:rPr>
          <w:rFonts w:ascii="Arial" w:hAnsi="Arial" w:cs="Arial"/>
          <w:sz w:val="24"/>
          <w:szCs w:val="24"/>
        </w:rPr>
        <w:t>.</w:t>
      </w:r>
    </w:p>
    <w:p w:rsidR="00E411DA" w:rsidRDefault="00E411DA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 xml:space="preserve">d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1F2F6A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F2F6A">
              <w:rPr>
                <w:rFonts w:ascii="Arial" w:hAnsi="Arial" w:cs="Arial"/>
                <w:b/>
              </w:rPr>
              <w:t>21562</w:t>
            </w:r>
          </w:p>
        </w:tc>
        <w:tc>
          <w:tcPr>
            <w:tcW w:w="2007" w:type="dxa"/>
          </w:tcPr>
          <w:p w:rsidR="00A12B5F" w:rsidRDefault="00CD6FF0" w:rsidP="001F2F6A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1F2F6A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773" w:type="dxa"/>
          </w:tcPr>
          <w:p w:rsidR="00A12B5F" w:rsidRDefault="00CD6FF0" w:rsidP="001F2F6A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1C67">
              <w:rPr>
                <w:rFonts w:ascii="Arial" w:hAnsi="Arial" w:cs="Arial"/>
                <w:b/>
              </w:rPr>
              <w:t>2</w:t>
            </w:r>
            <w:r w:rsidR="001F2F6A">
              <w:rPr>
                <w:rFonts w:ascii="Arial" w:hAnsi="Arial" w:cs="Arial"/>
                <w:b/>
              </w:rPr>
              <w:t>5608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C943DF">
        <w:rPr>
          <w:rFonts w:ascii="Arial" w:hAnsi="Arial" w:cs="Arial"/>
          <w:sz w:val="24"/>
          <w:szCs w:val="24"/>
        </w:rPr>
        <w:t>1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1F2F6A">
        <w:rPr>
          <w:rFonts w:ascii="Arial" w:hAnsi="Arial" w:cs="Arial"/>
          <w:sz w:val="24"/>
          <w:szCs w:val="24"/>
        </w:rPr>
        <w:t>3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>201</w:t>
      </w:r>
      <w:r w:rsidR="001F2F6A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</w:t>
      </w:r>
      <w:r w:rsidR="00C943DF">
        <w:rPr>
          <w:rFonts w:ascii="Arial" w:hAnsi="Arial" w:cs="Arial"/>
          <w:sz w:val="24"/>
          <w:szCs w:val="24"/>
        </w:rPr>
        <w:t xml:space="preserve">su </w:t>
      </w:r>
      <w:r w:rsidRPr="00E46520">
        <w:rPr>
          <w:rFonts w:ascii="Arial" w:hAnsi="Arial" w:cs="Arial"/>
          <w:sz w:val="24"/>
          <w:szCs w:val="24"/>
        </w:rPr>
        <w:t xml:space="preserve">ukupno </w:t>
      </w:r>
      <w:r w:rsidR="00CD6FF0" w:rsidRPr="00E46520">
        <w:rPr>
          <w:rFonts w:ascii="Arial" w:hAnsi="Arial" w:cs="Arial"/>
          <w:sz w:val="24"/>
          <w:szCs w:val="24"/>
        </w:rPr>
        <w:t>1</w:t>
      </w:r>
      <w:r w:rsidR="00C943DF">
        <w:rPr>
          <w:rFonts w:ascii="Arial" w:hAnsi="Arial" w:cs="Arial"/>
          <w:sz w:val="24"/>
          <w:szCs w:val="24"/>
        </w:rPr>
        <w:t>2</w:t>
      </w:r>
      <w:r w:rsidR="001F2F6A">
        <w:rPr>
          <w:rFonts w:ascii="Arial" w:hAnsi="Arial" w:cs="Arial"/>
          <w:sz w:val="24"/>
          <w:szCs w:val="24"/>
        </w:rPr>
        <w:t>5608</w:t>
      </w:r>
      <w:r w:rsidRPr="00E46520">
        <w:rPr>
          <w:rFonts w:ascii="Arial" w:hAnsi="Arial" w:cs="Arial"/>
          <w:sz w:val="24"/>
          <w:szCs w:val="24"/>
        </w:rPr>
        <w:t xml:space="preserve"> Uvjerenja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</w:t>
      </w:r>
      <w:r w:rsidR="001F2F6A">
        <w:rPr>
          <w:rFonts w:ascii="Arial" w:hAnsi="Arial" w:cs="Arial"/>
          <w:sz w:val="24"/>
          <w:szCs w:val="24"/>
        </w:rPr>
        <w:t>21562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1F2F6A">
        <w:rPr>
          <w:rFonts w:ascii="Arial" w:hAnsi="Arial" w:cs="Arial"/>
          <w:sz w:val="24"/>
          <w:szCs w:val="24"/>
        </w:rPr>
        <w:t>46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>. Pokazatelji o II i III fazi revizije za I kvartal 201</w:t>
      </w:r>
      <w:r w:rsidR="00336685">
        <w:rPr>
          <w:rFonts w:ascii="Arial" w:hAnsi="Arial" w:cs="Arial"/>
          <w:b/>
          <w:sz w:val="24"/>
          <w:szCs w:val="24"/>
        </w:rPr>
        <w:t>7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r w:rsidR="00E023DF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r w:rsidR="00E023DF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C943DF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6D26D2">
        <w:rPr>
          <w:rFonts w:ascii="Arial" w:hAnsi="Arial" w:cs="Arial"/>
          <w:b/>
          <w:sz w:val="24"/>
          <w:szCs w:val="24"/>
        </w:rPr>
        <w:t>3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6D26D2">
        <w:rPr>
          <w:rFonts w:ascii="Arial" w:hAnsi="Arial" w:cs="Arial"/>
          <w:b/>
          <w:sz w:val="24"/>
          <w:szCs w:val="24"/>
        </w:rPr>
        <w:t>7</w:t>
      </w:r>
      <w:r w:rsidR="00D067F0" w:rsidRPr="00E46520">
        <w:rPr>
          <w:rFonts w:ascii="Arial" w:hAnsi="Arial" w:cs="Arial"/>
          <w:b/>
          <w:sz w:val="24"/>
          <w:szCs w:val="24"/>
        </w:rPr>
        <w:t>. godine.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EDE" w:rsidRPr="003024B8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6D26D2">
        <w:rPr>
          <w:rFonts w:ascii="Arial" w:hAnsi="Arial" w:cs="Arial"/>
          <w:sz w:val="24"/>
          <w:szCs w:val="24"/>
        </w:rPr>
        <w:t>prvom</w:t>
      </w:r>
      <w:r w:rsidRPr="00E46520">
        <w:rPr>
          <w:rFonts w:ascii="Arial" w:hAnsi="Arial" w:cs="Arial"/>
          <w:sz w:val="24"/>
          <w:szCs w:val="24"/>
        </w:rPr>
        <w:t xml:space="preserve"> kvartalu 201</w:t>
      </w:r>
      <w:r w:rsidR="006D26D2">
        <w:rPr>
          <w:rFonts w:ascii="Arial" w:hAnsi="Arial" w:cs="Arial"/>
          <w:sz w:val="24"/>
          <w:szCs w:val="24"/>
        </w:rPr>
        <w:t>7</w:t>
      </w:r>
      <w:r w:rsidRPr="00E46520">
        <w:rPr>
          <w:rFonts w:ascii="Arial" w:hAnsi="Arial" w:cs="Arial"/>
          <w:sz w:val="24"/>
          <w:szCs w:val="24"/>
        </w:rPr>
        <w:t xml:space="preserve">. </w:t>
      </w:r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iz općinskih službi nadležnih za boračko-invalidsku zaštitu preuzeto je ukupno </w:t>
      </w:r>
      <w:r w:rsidR="002B3A20">
        <w:rPr>
          <w:rFonts w:ascii="Arial" w:hAnsi="Arial" w:cs="Arial"/>
          <w:sz w:val="24"/>
          <w:szCs w:val="24"/>
        </w:rPr>
        <w:t>2</w:t>
      </w:r>
      <w:r w:rsidR="006D26D2">
        <w:rPr>
          <w:rFonts w:ascii="Arial" w:hAnsi="Arial" w:cs="Arial"/>
          <w:sz w:val="24"/>
          <w:szCs w:val="24"/>
        </w:rPr>
        <w:t>096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lične </w:t>
      </w:r>
      <w:r w:rsidR="00D067F0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na provođenje II i III faze revizije dostavljen je </w:t>
      </w:r>
      <w:r w:rsidR="00475B64">
        <w:rPr>
          <w:rFonts w:ascii="Arial" w:hAnsi="Arial" w:cs="Arial"/>
          <w:sz w:val="24"/>
          <w:szCs w:val="24"/>
        </w:rPr>
        <w:t>2</w:t>
      </w:r>
      <w:r w:rsidR="006D26D2">
        <w:rPr>
          <w:rFonts w:ascii="Arial" w:hAnsi="Arial" w:cs="Arial"/>
          <w:sz w:val="24"/>
          <w:szCs w:val="24"/>
        </w:rPr>
        <w:t>096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 porodične invalidnine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="002B3A20" w:rsidRPr="00E46520">
        <w:rPr>
          <w:rFonts w:ascii="Arial" w:hAnsi="Arial" w:cs="Arial"/>
          <w:sz w:val="24"/>
          <w:szCs w:val="24"/>
        </w:rPr>
        <w:t>sa uvjerenjima na Obrascu FMB 1</w:t>
      </w:r>
      <w:r w:rsidR="002B3A20">
        <w:rPr>
          <w:rFonts w:ascii="Arial" w:hAnsi="Arial" w:cs="Arial"/>
          <w:sz w:val="24"/>
          <w:szCs w:val="24"/>
        </w:rPr>
        <w:t xml:space="preserve">. </w:t>
      </w:r>
      <w:r w:rsidR="00B67ACB"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723D4D">
        <w:rPr>
          <w:rFonts w:ascii="Arial" w:hAnsi="Arial" w:cs="Arial"/>
          <w:sz w:val="24"/>
          <w:szCs w:val="24"/>
        </w:rPr>
        <w:t>3021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723D4D">
        <w:rPr>
          <w:rFonts w:ascii="Arial" w:hAnsi="Arial" w:cs="Arial"/>
          <w:sz w:val="24"/>
          <w:szCs w:val="24"/>
        </w:rPr>
        <w:t>u</w:t>
      </w:r>
      <w:r w:rsidR="002F1EDE" w:rsidRPr="003024B8">
        <w:rPr>
          <w:rFonts w:ascii="Arial" w:hAnsi="Arial" w:cs="Arial"/>
          <w:sz w:val="24"/>
          <w:szCs w:val="24"/>
        </w:rPr>
        <w:t>. Od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1</w:t>
      </w:r>
      <w:r w:rsidR="006D26D2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6D26D2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6D26D2">
        <w:rPr>
          <w:rFonts w:ascii="Arial" w:hAnsi="Arial" w:cs="Arial"/>
          <w:sz w:val="24"/>
          <w:szCs w:val="24"/>
        </w:rPr>
        <w:t>813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lične </w:t>
      </w:r>
      <w:r w:rsidR="0000131B" w:rsidRPr="003024B8">
        <w:rPr>
          <w:rFonts w:ascii="Arial" w:hAnsi="Arial" w:cs="Arial"/>
          <w:sz w:val="24"/>
          <w:szCs w:val="24"/>
        </w:rPr>
        <w:t xml:space="preserve">i 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6D26D2">
        <w:rPr>
          <w:rFonts w:ascii="Arial" w:hAnsi="Arial" w:cs="Arial"/>
          <w:sz w:val="24"/>
          <w:szCs w:val="24"/>
        </w:rPr>
        <w:t xml:space="preserve">60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723D4D">
        <w:rPr>
          <w:rFonts w:ascii="Arial" w:hAnsi="Arial" w:cs="Arial"/>
          <w:sz w:val="24"/>
          <w:szCs w:val="24"/>
        </w:rPr>
        <w:t>199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723D4D">
        <w:rPr>
          <w:rFonts w:ascii="Arial" w:hAnsi="Arial" w:cs="Arial"/>
          <w:sz w:val="24"/>
          <w:szCs w:val="24"/>
        </w:rPr>
        <w:t>19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A847F9">
        <w:rPr>
          <w:rFonts w:ascii="Arial" w:hAnsi="Arial" w:cs="Arial"/>
          <w:sz w:val="24"/>
          <w:szCs w:val="24"/>
        </w:rPr>
        <w:t>a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16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ili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723D4D">
        <w:rPr>
          <w:rFonts w:ascii="Arial" w:hAnsi="Arial" w:cs="Arial"/>
          <w:sz w:val="24"/>
          <w:szCs w:val="24"/>
        </w:rPr>
        <w:t>102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49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1521</w:t>
      </w:r>
      <w:r w:rsidRPr="001543E4">
        <w:rPr>
          <w:rFonts w:ascii="Arial" w:hAnsi="Arial" w:cs="Arial"/>
          <w:sz w:val="24"/>
          <w:szCs w:val="24"/>
        </w:rPr>
        <w:t xml:space="preserve"> predmet </w:t>
      </w:r>
      <w:r w:rsidR="00920E36">
        <w:rPr>
          <w:rFonts w:ascii="Arial" w:hAnsi="Arial" w:cs="Arial"/>
          <w:sz w:val="24"/>
          <w:szCs w:val="24"/>
        </w:rPr>
        <w:t>je</w:t>
      </w:r>
      <w:r w:rsidR="007469AA" w:rsidRPr="001543E4">
        <w:rPr>
          <w:rFonts w:ascii="Arial" w:hAnsi="Arial" w:cs="Arial"/>
          <w:sz w:val="24"/>
          <w:szCs w:val="24"/>
        </w:rPr>
        <w:t xml:space="preserve"> obrađen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7469AA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723D4D">
        <w:rPr>
          <w:rFonts w:ascii="Arial" w:hAnsi="Arial" w:cs="Arial"/>
          <w:sz w:val="24"/>
          <w:szCs w:val="24"/>
        </w:rPr>
        <w:t>1530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A847F9" w:rsidRPr="001543E4">
        <w:rPr>
          <w:rFonts w:ascii="Arial" w:hAnsi="Arial" w:cs="Arial"/>
          <w:sz w:val="24"/>
          <w:szCs w:val="24"/>
        </w:rPr>
        <w:t>je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920E36">
        <w:rPr>
          <w:rFonts w:ascii="Arial" w:hAnsi="Arial" w:cs="Arial"/>
          <w:sz w:val="24"/>
          <w:szCs w:val="24"/>
        </w:rPr>
        <w:t>o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dat</w:t>
      </w:r>
      <w:r w:rsidR="00920E36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2</w:t>
      </w:r>
      <w:r w:rsidR="00723D4D">
        <w:rPr>
          <w:rFonts w:ascii="Arial" w:hAnsi="Arial" w:cs="Arial"/>
          <w:sz w:val="24"/>
          <w:szCs w:val="24"/>
        </w:rPr>
        <w:t>29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A847F9">
        <w:rPr>
          <w:rFonts w:ascii="Arial" w:hAnsi="Arial" w:cs="Arial"/>
          <w:sz w:val="24"/>
          <w:szCs w:val="24"/>
        </w:rPr>
        <w:t>I</w:t>
      </w:r>
      <w:r w:rsidR="00723D4D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723D4D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336685">
        <w:rPr>
          <w:rFonts w:ascii="Arial" w:hAnsi="Arial" w:cs="Arial"/>
          <w:sz w:val="24"/>
          <w:szCs w:val="24"/>
        </w:rPr>
        <w:t>1120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početka provođenja II faze revizije 15.3.2011. godine do 3</w:t>
      </w:r>
      <w:r w:rsidR="00920E36">
        <w:rPr>
          <w:rFonts w:ascii="Arial" w:hAnsi="Arial" w:cs="Arial"/>
          <w:sz w:val="24"/>
          <w:szCs w:val="24"/>
        </w:rPr>
        <w:t>1</w:t>
      </w:r>
      <w:r w:rsidRPr="00D96E71">
        <w:rPr>
          <w:rFonts w:ascii="Arial" w:hAnsi="Arial" w:cs="Arial"/>
          <w:sz w:val="24"/>
          <w:szCs w:val="24"/>
        </w:rPr>
        <w:t>.</w:t>
      </w:r>
      <w:r w:rsidR="00336685">
        <w:rPr>
          <w:rFonts w:ascii="Arial" w:hAnsi="Arial" w:cs="Arial"/>
          <w:sz w:val="24"/>
          <w:szCs w:val="24"/>
        </w:rPr>
        <w:t>3</w:t>
      </w:r>
      <w:r w:rsidRPr="00D96E71">
        <w:rPr>
          <w:rFonts w:ascii="Arial" w:hAnsi="Arial" w:cs="Arial"/>
          <w:sz w:val="24"/>
          <w:szCs w:val="24"/>
        </w:rPr>
        <w:t>.201</w:t>
      </w:r>
      <w:r w:rsidR="00336685">
        <w:rPr>
          <w:rFonts w:ascii="Arial" w:hAnsi="Arial" w:cs="Arial"/>
          <w:sz w:val="24"/>
          <w:szCs w:val="24"/>
        </w:rPr>
        <w:t>7</w:t>
      </w:r>
      <w:r w:rsidRPr="00D96E71">
        <w:rPr>
          <w:rFonts w:ascii="Arial" w:hAnsi="Arial" w:cs="Arial"/>
          <w:sz w:val="24"/>
          <w:szCs w:val="24"/>
        </w:rPr>
        <w:t xml:space="preserve">. godine Sektor za upravno rješavanje zaprimio je </w:t>
      </w:r>
      <w:r w:rsidR="00336685">
        <w:rPr>
          <w:rFonts w:ascii="Arial" w:hAnsi="Arial" w:cs="Arial"/>
          <w:sz w:val="24"/>
          <w:szCs w:val="24"/>
        </w:rPr>
        <w:t xml:space="preserve">45203 </w:t>
      </w:r>
      <w:r w:rsidRPr="00D96E71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lastRenderedPageBreak/>
        <w:t>Od navedenog broja</w:t>
      </w:r>
      <w:r w:rsidR="00F871F2" w:rsidRPr="00D96E71">
        <w:rPr>
          <w:rFonts w:ascii="Arial" w:hAnsi="Arial" w:cs="Arial"/>
          <w:sz w:val="24"/>
          <w:szCs w:val="24"/>
        </w:rPr>
        <w:t xml:space="preserve"> ukupno je riješeno </w:t>
      </w:r>
      <w:r w:rsidR="00920E36">
        <w:rPr>
          <w:rFonts w:ascii="Arial" w:hAnsi="Arial" w:cs="Arial"/>
          <w:sz w:val="24"/>
          <w:szCs w:val="24"/>
        </w:rPr>
        <w:t>3</w:t>
      </w:r>
      <w:r w:rsidR="00336685">
        <w:rPr>
          <w:rFonts w:ascii="Arial" w:hAnsi="Arial" w:cs="Arial"/>
          <w:sz w:val="24"/>
          <w:szCs w:val="24"/>
        </w:rPr>
        <w:t>6081</w:t>
      </w:r>
      <w:r w:rsidR="00F871F2" w:rsidRPr="00D96E71">
        <w:rPr>
          <w:rFonts w:ascii="Arial" w:hAnsi="Arial" w:cs="Arial"/>
          <w:sz w:val="24"/>
          <w:szCs w:val="24"/>
        </w:rPr>
        <w:t>predmeta donošenjem upravnog akta- rješenja</w:t>
      </w:r>
      <w:r w:rsidR="001543E4" w:rsidRPr="00D96E71">
        <w:rPr>
          <w:rFonts w:ascii="Arial" w:hAnsi="Arial" w:cs="Arial"/>
          <w:sz w:val="24"/>
          <w:szCs w:val="24"/>
        </w:rPr>
        <w:t>,</w:t>
      </w:r>
      <w:r w:rsidR="00F871F2" w:rsidRPr="00D96E71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D96E71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>
        <w:rPr>
          <w:rFonts w:ascii="Arial" w:hAnsi="Arial" w:cs="Arial"/>
          <w:sz w:val="24"/>
          <w:szCs w:val="24"/>
        </w:rPr>
        <w:t xml:space="preserve"> ranije</w:t>
      </w:r>
      <w:r w:rsidR="001543E4" w:rsidRPr="00D96E71">
        <w:rPr>
          <w:rFonts w:ascii="Arial" w:hAnsi="Arial" w:cs="Arial"/>
          <w:sz w:val="24"/>
          <w:szCs w:val="24"/>
        </w:rPr>
        <w:t>.</w:t>
      </w:r>
    </w:p>
    <w:p w:rsidR="00F871F2" w:rsidRPr="00D96E71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naprijed navedenog broja riješenih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14</w:t>
      </w:r>
      <w:r w:rsidR="00336685">
        <w:rPr>
          <w:rFonts w:ascii="Arial" w:hAnsi="Arial" w:cs="Arial"/>
          <w:sz w:val="24"/>
          <w:szCs w:val="24"/>
        </w:rPr>
        <w:t>1</w:t>
      </w:r>
      <w:r w:rsidR="00920E36">
        <w:rPr>
          <w:rFonts w:ascii="Arial" w:hAnsi="Arial" w:cs="Arial"/>
          <w:sz w:val="24"/>
          <w:szCs w:val="24"/>
        </w:rPr>
        <w:t>7</w:t>
      </w:r>
      <w:r w:rsidRPr="00D96E71">
        <w:rPr>
          <w:rFonts w:ascii="Arial" w:hAnsi="Arial" w:cs="Arial"/>
          <w:sz w:val="24"/>
          <w:szCs w:val="24"/>
        </w:rPr>
        <w:t xml:space="preserve"> predmeta donesena su rješenja o ukidanju priznatih prava na osnovu izdatog uvjerenja na Obrascu FMB 2,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-u</w:t>
      </w:r>
      <w:r w:rsidR="00336685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6</w:t>
      </w:r>
      <w:r w:rsidR="00920E36">
        <w:rPr>
          <w:rFonts w:ascii="Arial" w:hAnsi="Arial" w:cs="Arial"/>
          <w:sz w:val="24"/>
          <w:szCs w:val="24"/>
        </w:rPr>
        <w:t>4</w:t>
      </w:r>
      <w:r w:rsidR="00336685">
        <w:rPr>
          <w:rFonts w:ascii="Arial" w:hAnsi="Arial" w:cs="Arial"/>
          <w:sz w:val="24"/>
          <w:szCs w:val="24"/>
        </w:rPr>
        <w:t>9</w:t>
      </w:r>
      <w:r w:rsidRPr="00D96E71">
        <w:rPr>
          <w:rFonts w:ascii="Arial" w:hAnsi="Arial" w:cs="Arial"/>
          <w:sz w:val="24"/>
          <w:szCs w:val="24"/>
        </w:rPr>
        <w:t xml:space="preserve"> predmeta porodične invalidnine nakon izdavanja uvjerenja na Obrascu FMB 1 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543E4" w:rsidRPr="00D96E71">
        <w:rPr>
          <w:rFonts w:ascii="Arial" w:hAnsi="Arial" w:cs="Arial"/>
          <w:sz w:val="24"/>
          <w:szCs w:val="24"/>
        </w:rPr>
        <w:t xml:space="preserve"> 2</w:t>
      </w:r>
      <w:r w:rsidR="00336685">
        <w:rPr>
          <w:rFonts w:ascii="Arial" w:hAnsi="Arial" w:cs="Arial"/>
          <w:sz w:val="24"/>
          <w:szCs w:val="24"/>
        </w:rPr>
        <w:t>3384</w:t>
      </w:r>
      <w:r w:rsidRPr="00D96E71">
        <w:rPr>
          <w:rFonts w:ascii="Arial" w:hAnsi="Arial" w:cs="Arial"/>
          <w:sz w:val="24"/>
          <w:szCs w:val="24"/>
        </w:rPr>
        <w:t xml:space="preserve">  predmeta lične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ljekarske komisije </w:t>
      </w:r>
      <w:r w:rsidRPr="00D96E71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-u </w:t>
      </w:r>
      <w:r w:rsidR="001543E4" w:rsidRPr="00D96E71">
        <w:rPr>
          <w:rFonts w:ascii="Arial" w:hAnsi="Arial" w:cs="Arial"/>
          <w:sz w:val="24"/>
          <w:szCs w:val="24"/>
        </w:rPr>
        <w:t>3</w:t>
      </w:r>
      <w:r w:rsidR="00920E36">
        <w:rPr>
          <w:rFonts w:ascii="Arial" w:hAnsi="Arial" w:cs="Arial"/>
          <w:sz w:val="24"/>
          <w:szCs w:val="24"/>
        </w:rPr>
        <w:t>6</w:t>
      </w:r>
      <w:r w:rsidR="00336685">
        <w:rPr>
          <w:rFonts w:ascii="Arial" w:hAnsi="Arial" w:cs="Arial"/>
          <w:sz w:val="24"/>
          <w:szCs w:val="24"/>
        </w:rPr>
        <w:t>79</w:t>
      </w:r>
      <w:r w:rsidRPr="00D96E71">
        <w:rPr>
          <w:rFonts w:ascii="Arial" w:hAnsi="Arial" w:cs="Arial"/>
          <w:sz w:val="24"/>
          <w:szCs w:val="24"/>
        </w:rPr>
        <w:t xml:space="preserve"> predmeta lične invalidnine doneseno je rješenje o prestanku priznatih prava na osnovu </w:t>
      </w:r>
      <w:r w:rsidR="00DB6608" w:rsidRPr="00D96E71">
        <w:rPr>
          <w:rFonts w:ascii="Arial" w:hAnsi="Arial" w:cs="Arial"/>
          <w:sz w:val="24"/>
          <w:szCs w:val="24"/>
        </w:rPr>
        <w:t xml:space="preserve">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336685">
        <w:rPr>
          <w:rFonts w:ascii="Arial" w:hAnsi="Arial" w:cs="Arial"/>
          <w:sz w:val="24"/>
          <w:szCs w:val="24"/>
        </w:rPr>
        <w:t>6004</w:t>
      </w:r>
      <w:r w:rsidRPr="00D96E71">
        <w:rPr>
          <w:rFonts w:ascii="Arial" w:hAnsi="Arial" w:cs="Arial"/>
          <w:sz w:val="24"/>
          <w:szCs w:val="24"/>
        </w:rPr>
        <w:t xml:space="preserve"> predmeta donesena su rješenja kojim je utvrđen manji obim prava u skladu sa </w:t>
      </w:r>
      <w:r w:rsidR="0037603F" w:rsidRPr="00D96E71">
        <w:rPr>
          <w:rFonts w:ascii="Arial" w:hAnsi="Arial" w:cs="Arial"/>
          <w:sz w:val="24"/>
          <w:szCs w:val="24"/>
        </w:rPr>
        <w:t xml:space="preserve">nalazom i mišljenjem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D737FC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543E4" w:rsidRPr="00D96E71">
        <w:rPr>
          <w:rFonts w:ascii="Arial" w:hAnsi="Arial" w:cs="Arial"/>
          <w:sz w:val="24"/>
          <w:szCs w:val="24"/>
        </w:rPr>
        <w:t xml:space="preserve"> 4</w:t>
      </w:r>
      <w:r w:rsidR="00336685">
        <w:rPr>
          <w:rFonts w:ascii="Arial" w:hAnsi="Arial" w:cs="Arial"/>
          <w:sz w:val="24"/>
          <w:szCs w:val="24"/>
        </w:rPr>
        <w:t>70</w:t>
      </w:r>
      <w:r w:rsidR="00DB6608" w:rsidRPr="00D96E71">
        <w:rPr>
          <w:rFonts w:ascii="Arial" w:hAnsi="Arial" w:cs="Arial"/>
          <w:sz w:val="24"/>
          <w:szCs w:val="24"/>
        </w:rPr>
        <w:t xml:space="preserve"> predmet</w:t>
      </w:r>
      <w:r w:rsidR="00336685">
        <w:rPr>
          <w:rFonts w:ascii="Arial" w:hAnsi="Arial" w:cs="Arial"/>
          <w:sz w:val="24"/>
          <w:szCs w:val="24"/>
        </w:rPr>
        <w:t xml:space="preserve">a </w:t>
      </w:r>
      <w:r w:rsidRPr="00D96E71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D96E71">
        <w:rPr>
          <w:rFonts w:ascii="Arial" w:hAnsi="Arial" w:cs="Arial"/>
          <w:sz w:val="24"/>
          <w:szCs w:val="24"/>
        </w:rPr>
        <w:t xml:space="preserve">nalazom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mišljenjem </w:t>
      </w:r>
      <w:r w:rsidRPr="00D96E71">
        <w:rPr>
          <w:rFonts w:ascii="Arial" w:hAnsi="Arial" w:cs="Arial"/>
          <w:sz w:val="24"/>
          <w:szCs w:val="24"/>
        </w:rPr>
        <w:t>ljekarske komisije Instituta</w:t>
      </w:r>
      <w:r w:rsidR="00D737FC"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3D4ADE">
        <w:rPr>
          <w:rFonts w:ascii="Arial" w:hAnsi="Arial" w:cs="Arial"/>
          <w:sz w:val="24"/>
          <w:szCs w:val="24"/>
        </w:rPr>
        <w:t xml:space="preserve"> </w:t>
      </w:r>
      <w:r w:rsidR="001543E4" w:rsidRPr="00D96E71">
        <w:rPr>
          <w:rFonts w:ascii="Arial" w:hAnsi="Arial" w:cs="Arial"/>
          <w:sz w:val="24"/>
          <w:szCs w:val="24"/>
        </w:rPr>
        <w:t>1</w:t>
      </w:r>
      <w:r w:rsidR="00D562C4">
        <w:rPr>
          <w:rFonts w:ascii="Arial" w:hAnsi="Arial" w:cs="Arial"/>
          <w:sz w:val="24"/>
          <w:szCs w:val="24"/>
        </w:rPr>
        <w:t xml:space="preserve">507 </w:t>
      </w:r>
      <w:r w:rsidRPr="00D96E71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D96E71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D96E71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ukupno zaprimljenog broja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D562C4">
        <w:rPr>
          <w:rFonts w:ascii="Arial" w:hAnsi="Arial" w:cs="Arial"/>
          <w:sz w:val="24"/>
          <w:szCs w:val="24"/>
        </w:rPr>
        <w:t>214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predmet</w:t>
      </w:r>
      <w:r w:rsidR="00DB6608" w:rsidRPr="00D96E71">
        <w:rPr>
          <w:rFonts w:ascii="Arial" w:hAnsi="Arial" w:cs="Arial"/>
          <w:sz w:val="24"/>
          <w:szCs w:val="24"/>
        </w:rPr>
        <w:t>a</w:t>
      </w:r>
      <w:r w:rsidR="00920E36">
        <w:rPr>
          <w:rFonts w:ascii="Arial" w:hAnsi="Arial" w:cs="Arial"/>
          <w:sz w:val="24"/>
          <w:szCs w:val="24"/>
        </w:rPr>
        <w:t xml:space="preserve"> je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vraćen</w:t>
      </w:r>
      <w:r w:rsidR="00920E36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drugih razloga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D562C4">
        <w:rPr>
          <w:rFonts w:ascii="Arial" w:hAnsi="Arial" w:cs="Arial"/>
          <w:sz w:val="24"/>
          <w:szCs w:val="24"/>
        </w:rPr>
        <w:t>502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</w:t>
      </w:r>
      <w:r w:rsidR="00D737FC" w:rsidRPr="00D96E71">
        <w:rPr>
          <w:rFonts w:ascii="Arial" w:hAnsi="Arial" w:cs="Arial"/>
          <w:sz w:val="24"/>
          <w:szCs w:val="24"/>
        </w:rPr>
        <w:t>je</w:t>
      </w:r>
      <w:r w:rsidR="001D6A03" w:rsidRPr="00D96E71">
        <w:rPr>
          <w:rFonts w:ascii="Arial" w:hAnsi="Arial" w:cs="Arial"/>
          <w:sz w:val="24"/>
          <w:szCs w:val="24"/>
        </w:rPr>
        <w:t xml:space="preserve"> v</w:t>
      </w:r>
      <w:r w:rsidRPr="00D96E71">
        <w:rPr>
          <w:rFonts w:ascii="Arial" w:hAnsi="Arial" w:cs="Arial"/>
          <w:sz w:val="24"/>
          <w:szCs w:val="24"/>
        </w:rPr>
        <w:t>raćen</w:t>
      </w:r>
      <w:r w:rsidR="00D737FC" w:rsidRPr="00D96E71">
        <w:rPr>
          <w:rFonts w:ascii="Arial" w:hAnsi="Arial" w:cs="Arial"/>
          <w:sz w:val="24"/>
          <w:szCs w:val="24"/>
        </w:rPr>
        <w:t>o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zbog pribavljanja izjašnjenja korisnika prava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CD375F" w:rsidRPr="00D96E71">
        <w:rPr>
          <w:rFonts w:ascii="Arial" w:hAnsi="Arial" w:cs="Arial"/>
          <w:sz w:val="24"/>
          <w:szCs w:val="24"/>
        </w:rPr>
        <w:t>3</w:t>
      </w:r>
      <w:r w:rsidR="00D562C4">
        <w:rPr>
          <w:rFonts w:ascii="Arial" w:hAnsi="Arial" w:cs="Arial"/>
          <w:sz w:val="24"/>
          <w:szCs w:val="24"/>
        </w:rPr>
        <w:t>9572</w:t>
      </w:r>
      <w:r w:rsidRPr="00D96E71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D96E71">
        <w:rPr>
          <w:rFonts w:ascii="Arial" w:hAnsi="Arial" w:cs="Arial"/>
          <w:sz w:val="24"/>
          <w:szCs w:val="24"/>
        </w:rPr>
        <w:t xml:space="preserve"> i</w:t>
      </w:r>
      <w:r w:rsidRPr="00D96E71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1F2B6A">
        <w:rPr>
          <w:rFonts w:ascii="Arial" w:hAnsi="Arial" w:cs="Arial"/>
          <w:sz w:val="24"/>
          <w:szCs w:val="24"/>
        </w:rPr>
        <w:t>3</w:t>
      </w:r>
      <w:r w:rsidR="00D562C4">
        <w:rPr>
          <w:rFonts w:ascii="Arial" w:hAnsi="Arial" w:cs="Arial"/>
          <w:sz w:val="24"/>
          <w:szCs w:val="24"/>
        </w:rPr>
        <w:t>5447</w:t>
      </w:r>
      <w:r w:rsidRPr="00D96E71">
        <w:rPr>
          <w:rFonts w:ascii="Arial" w:hAnsi="Arial" w:cs="Arial"/>
          <w:sz w:val="24"/>
          <w:szCs w:val="24"/>
        </w:rPr>
        <w:t xml:space="preserve"> predmeta </w:t>
      </w:r>
      <w:r w:rsidR="00CD375F" w:rsidRPr="00D96E71">
        <w:rPr>
          <w:rFonts w:ascii="Arial" w:hAnsi="Arial" w:cs="Arial"/>
          <w:sz w:val="24"/>
          <w:szCs w:val="24"/>
        </w:rPr>
        <w:t xml:space="preserve">je </w:t>
      </w:r>
      <w:r w:rsidRPr="00D96E71">
        <w:rPr>
          <w:rFonts w:ascii="Arial" w:hAnsi="Arial" w:cs="Arial"/>
          <w:sz w:val="24"/>
          <w:szCs w:val="24"/>
        </w:rPr>
        <w:t>zaprimljen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="00D562C4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dat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D96E71">
        <w:rPr>
          <w:rFonts w:ascii="Arial" w:hAnsi="Arial" w:cs="Arial"/>
          <w:sz w:val="24"/>
          <w:szCs w:val="24"/>
        </w:rPr>
        <w:t xml:space="preserve">nalaza i mišljenja </w:t>
      </w:r>
      <w:r w:rsidRPr="00D96E71">
        <w:rPr>
          <w:rFonts w:ascii="Arial" w:hAnsi="Arial" w:cs="Arial"/>
          <w:sz w:val="24"/>
          <w:szCs w:val="24"/>
        </w:rPr>
        <w:t>nadležne ljekarske komisije</w:t>
      </w:r>
      <w:r w:rsidR="00F60B7B" w:rsidRPr="00D96E71">
        <w:rPr>
          <w:rFonts w:ascii="Arial" w:hAnsi="Arial" w:cs="Arial"/>
          <w:sz w:val="24"/>
          <w:szCs w:val="24"/>
        </w:rPr>
        <w:t xml:space="preserve">, </w:t>
      </w:r>
    </w:p>
    <w:p w:rsidR="009C45CE" w:rsidRPr="00D96E71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D562C4">
        <w:rPr>
          <w:rFonts w:ascii="Arial" w:hAnsi="Arial" w:cs="Arial"/>
          <w:sz w:val="24"/>
          <w:szCs w:val="24"/>
        </w:rPr>
        <w:t xml:space="preserve"> 4125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D562C4">
        <w:rPr>
          <w:rFonts w:ascii="Arial" w:hAnsi="Arial" w:cs="Arial"/>
          <w:sz w:val="24"/>
          <w:szCs w:val="24"/>
        </w:rPr>
        <w:t>a</w:t>
      </w:r>
      <w:r w:rsidRPr="00D96E71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D96E71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>. Pokazatelji o radu ljekarske komisije Instituta  u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5776CA" w:rsidRPr="003024B8" w:rsidRDefault="005776CA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1F2B6A">
        <w:rPr>
          <w:rFonts w:ascii="Arial" w:hAnsi="Arial" w:cs="Arial"/>
          <w:bCs/>
          <w:sz w:val="24"/>
          <w:szCs w:val="24"/>
          <w:lang w:val="hr-HR"/>
        </w:rPr>
        <w:t>1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ED0ECF">
        <w:rPr>
          <w:rFonts w:ascii="Arial" w:hAnsi="Arial" w:cs="Arial"/>
          <w:bCs/>
          <w:sz w:val="24"/>
          <w:szCs w:val="24"/>
          <w:lang w:val="hr-HR"/>
        </w:rPr>
        <w:t>3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>
        <w:rPr>
          <w:rFonts w:ascii="Arial" w:hAnsi="Arial" w:cs="Arial"/>
          <w:bCs/>
          <w:sz w:val="24"/>
          <w:szCs w:val="24"/>
          <w:lang w:val="hr-HR"/>
        </w:rPr>
        <w:t>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3024B8">
        <w:rPr>
          <w:rFonts w:ascii="Arial" w:hAnsi="Arial" w:cs="Arial"/>
          <w:sz w:val="24"/>
          <w:szCs w:val="24"/>
          <w:lang w:val="hr-BA"/>
        </w:rPr>
        <w:t xml:space="preserve">je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ED0ECF">
        <w:rPr>
          <w:rFonts w:ascii="Arial" w:hAnsi="Arial" w:cs="Arial"/>
          <w:sz w:val="24"/>
          <w:szCs w:val="24"/>
          <w:lang w:val="hr-BA"/>
        </w:rPr>
        <w:t xml:space="preserve">39572 predmeta.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1F2B6A">
        <w:rPr>
          <w:rFonts w:ascii="Arial" w:hAnsi="Arial" w:cs="Arial"/>
          <w:sz w:val="24"/>
          <w:szCs w:val="24"/>
          <w:lang w:val="hr-BA"/>
        </w:rPr>
        <w:t>3</w:t>
      </w:r>
      <w:r w:rsidR="00ED0ECF">
        <w:rPr>
          <w:rFonts w:ascii="Arial" w:hAnsi="Arial" w:cs="Arial"/>
          <w:sz w:val="24"/>
          <w:szCs w:val="24"/>
          <w:lang w:val="hr-BA"/>
        </w:rPr>
        <w:t>5447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</w:t>
      </w:r>
      <w:r w:rsidR="00ED0ECF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1F2B6A">
        <w:rPr>
          <w:rFonts w:ascii="Arial" w:hAnsi="Arial" w:cs="Arial"/>
          <w:bCs/>
          <w:sz w:val="24"/>
          <w:szCs w:val="24"/>
          <w:lang w:val="hr-HR"/>
        </w:rPr>
        <w:t>1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ED0ECF">
        <w:rPr>
          <w:rFonts w:ascii="Arial" w:hAnsi="Arial" w:cs="Arial"/>
          <w:bCs/>
          <w:sz w:val="24"/>
          <w:szCs w:val="24"/>
          <w:lang w:val="hr-HR"/>
        </w:rPr>
        <w:t>3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</w:t>
      </w:r>
      <w:r w:rsidR="00ED0ECF">
        <w:rPr>
          <w:rFonts w:ascii="Arial" w:hAnsi="Arial" w:cs="Arial"/>
          <w:bCs/>
          <w:sz w:val="24"/>
          <w:szCs w:val="24"/>
          <w:lang w:val="hr-HR"/>
        </w:rPr>
        <w:t>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1F2B6A">
        <w:rPr>
          <w:rFonts w:ascii="Arial" w:hAnsi="Arial" w:cs="Arial"/>
          <w:sz w:val="24"/>
          <w:szCs w:val="24"/>
          <w:lang w:val="hr-BA"/>
        </w:rPr>
        <w:t>41</w:t>
      </w:r>
      <w:r w:rsidR="005657DA">
        <w:rPr>
          <w:rFonts w:ascii="Arial" w:hAnsi="Arial" w:cs="Arial"/>
          <w:sz w:val="24"/>
          <w:szCs w:val="24"/>
          <w:lang w:val="hr-BA"/>
        </w:rPr>
        <w:t>25</w:t>
      </w:r>
      <w:r w:rsidR="001F2B6A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>predmet</w:t>
      </w:r>
      <w:r w:rsidR="001F2B6A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1F2B6A">
        <w:rPr>
          <w:rFonts w:ascii="Arial" w:hAnsi="Arial" w:cs="Arial"/>
          <w:sz w:val="24"/>
          <w:szCs w:val="24"/>
          <w:lang w:val="hr-BA"/>
        </w:rPr>
        <w:t>U I kvartalu 201</w:t>
      </w:r>
      <w:r w:rsidR="005657DA">
        <w:rPr>
          <w:rFonts w:ascii="Arial" w:hAnsi="Arial" w:cs="Arial"/>
          <w:sz w:val="24"/>
          <w:szCs w:val="24"/>
          <w:lang w:val="hr-BA"/>
        </w:rPr>
        <w:t>7</w:t>
      </w:r>
      <w:r w:rsidRPr="001F2B6A">
        <w:rPr>
          <w:rFonts w:ascii="Arial" w:hAnsi="Arial" w:cs="Arial"/>
          <w:sz w:val="24"/>
          <w:szCs w:val="24"/>
          <w:lang w:val="hr-BA"/>
        </w:rPr>
        <w:t xml:space="preserve">. godine: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LJKZKZ je Sektor za upravno rješavanje dostavio ukupno </w:t>
      </w:r>
      <w:r w:rsidR="005657DA">
        <w:rPr>
          <w:rFonts w:ascii="Arial" w:hAnsi="Arial" w:cs="Arial"/>
          <w:sz w:val="24"/>
          <w:szCs w:val="24"/>
          <w:lang w:val="hr-BA"/>
        </w:rPr>
        <w:t>1521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 lične invalidnine</w:t>
      </w:r>
      <w:r w:rsidR="005776CA">
        <w:rPr>
          <w:rFonts w:ascii="Arial" w:hAnsi="Arial" w:cs="Arial"/>
          <w:sz w:val="24"/>
          <w:szCs w:val="24"/>
          <w:lang w:val="hr-BA"/>
        </w:rPr>
        <w:t>,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a ista je u </w:t>
      </w:r>
      <w:r w:rsidR="005E6EE4">
        <w:rPr>
          <w:rFonts w:ascii="Arial" w:hAnsi="Arial" w:cs="Arial"/>
          <w:sz w:val="24"/>
          <w:szCs w:val="24"/>
          <w:lang w:val="hr-BA"/>
        </w:rPr>
        <w:t>1</w:t>
      </w:r>
      <w:r w:rsidR="005657DA">
        <w:rPr>
          <w:rFonts w:ascii="Arial" w:hAnsi="Arial" w:cs="Arial"/>
          <w:sz w:val="24"/>
          <w:szCs w:val="24"/>
          <w:lang w:val="hr-BA"/>
        </w:rPr>
        <w:t>530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lastRenderedPageBreak/>
        <w:t xml:space="preserve">-od ukupno </w:t>
      </w:r>
      <w:r w:rsidR="005657DA">
        <w:rPr>
          <w:rFonts w:ascii="Arial" w:hAnsi="Arial" w:cs="Arial"/>
          <w:sz w:val="24"/>
          <w:szCs w:val="24"/>
          <w:lang w:val="hr-BA"/>
        </w:rPr>
        <w:t>35447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</w:t>
      </w:r>
      <w:r w:rsidR="005657DA">
        <w:rPr>
          <w:rFonts w:ascii="Arial" w:hAnsi="Arial" w:cs="Arial"/>
          <w:sz w:val="24"/>
          <w:szCs w:val="24"/>
          <w:lang w:val="hr-BA"/>
        </w:rPr>
        <w:t xml:space="preserve">datih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D62057">
        <w:rPr>
          <w:rFonts w:ascii="Arial" w:hAnsi="Arial" w:cs="Arial"/>
          <w:sz w:val="24"/>
          <w:szCs w:val="24"/>
          <w:lang w:val="hr-BA"/>
        </w:rPr>
        <w:t xml:space="preserve"> 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C64E23">
        <w:rPr>
          <w:rFonts w:ascii="Arial" w:hAnsi="Arial" w:cs="Arial"/>
          <w:sz w:val="24"/>
          <w:szCs w:val="24"/>
          <w:lang w:val="hr-BA"/>
        </w:rPr>
        <w:t>2</w:t>
      </w:r>
      <w:r w:rsidR="00D62057">
        <w:rPr>
          <w:rFonts w:ascii="Arial" w:hAnsi="Arial" w:cs="Arial"/>
          <w:sz w:val="24"/>
          <w:szCs w:val="24"/>
          <w:lang w:val="hr-BA"/>
        </w:rPr>
        <w:t xml:space="preserve">4619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5D14C3">
        <w:rPr>
          <w:rFonts w:ascii="Arial" w:hAnsi="Arial" w:cs="Arial"/>
          <w:sz w:val="24"/>
          <w:szCs w:val="24"/>
          <w:lang w:val="hr-BA"/>
        </w:rPr>
        <w:t>4</w:t>
      </w:r>
      <w:r w:rsidR="00D62057">
        <w:rPr>
          <w:rFonts w:ascii="Arial" w:hAnsi="Arial" w:cs="Arial"/>
          <w:sz w:val="24"/>
          <w:szCs w:val="24"/>
          <w:lang w:val="hr-BA"/>
        </w:rPr>
        <w:t>40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D62057">
        <w:rPr>
          <w:rFonts w:ascii="Arial" w:hAnsi="Arial" w:cs="Arial"/>
          <w:sz w:val="24"/>
          <w:szCs w:val="24"/>
          <w:lang w:val="hr-BA"/>
        </w:rPr>
        <w:t>6293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5D14C3">
        <w:rPr>
          <w:rFonts w:ascii="Arial" w:hAnsi="Arial" w:cs="Arial"/>
          <w:sz w:val="24"/>
          <w:szCs w:val="24"/>
          <w:lang w:val="hr-BA"/>
        </w:rPr>
        <w:t>40</w:t>
      </w:r>
      <w:r w:rsidR="00D62057">
        <w:rPr>
          <w:rFonts w:ascii="Arial" w:hAnsi="Arial" w:cs="Arial"/>
          <w:sz w:val="24"/>
          <w:szCs w:val="24"/>
          <w:lang w:val="hr-BA"/>
        </w:rPr>
        <w:t>96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>U I kvartalu 201</w:t>
      </w:r>
      <w:r w:rsidR="00D62057">
        <w:rPr>
          <w:rFonts w:ascii="Arial" w:hAnsi="Arial" w:cs="Arial"/>
          <w:sz w:val="24"/>
          <w:szCs w:val="24"/>
          <w:lang w:val="hr-BA"/>
        </w:rPr>
        <w:t>7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D62057">
        <w:rPr>
          <w:rFonts w:ascii="Arial" w:hAnsi="Arial" w:cs="Arial"/>
          <w:sz w:val="24"/>
          <w:szCs w:val="24"/>
          <w:lang w:val="hr-BA"/>
        </w:rPr>
        <w:t>1530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datih u ovom periodu, sve u predmetima ličine invalidine, procenti invaliditeta po nalazima i mišljenjima LJKZKZ u odnosu na utvrđene konačnim rješenjima su: isti u </w:t>
      </w:r>
      <w:r w:rsidR="00D62057">
        <w:rPr>
          <w:rFonts w:ascii="Arial" w:hAnsi="Arial" w:cs="Arial"/>
          <w:sz w:val="24"/>
          <w:szCs w:val="24"/>
          <w:lang w:val="hr-BA"/>
        </w:rPr>
        <w:t>1087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veći u </w:t>
      </w:r>
      <w:r w:rsidR="00D62057">
        <w:rPr>
          <w:rFonts w:ascii="Arial" w:hAnsi="Arial" w:cs="Arial"/>
          <w:sz w:val="24"/>
          <w:szCs w:val="24"/>
          <w:lang w:val="hr-BA"/>
        </w:rPr>
        <w:t xml:space="preserve">35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5D14C3">
        <w:rPr>
          <w:rFonts w:ascii="Arial" w:hAnsi="Arial" w:cs="Arial"/>
          <w:sz w:val="24"/>
          <w:szCs w:val="24"/>
          <w:lang w:val="hr-BA"/>
        </w:rPr>
        <w:t>3</w:t>
      </w:r>
      <w:r w:rsidR="00D62057">
        <w:rPr>
          <w:rFonts w:ascii="Arial" w:hAnsi="Arial" w:cs="Arial"/>
          <w:sz w:val="24"/>
          <w:szCs w:val="24"/>
          <w:lang w:val="hr-BA"/>
        </w:rPr>
        <w:t>42</w:t>
      </w:r>
      <w:r w:rsidR="005D14C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D62057">
        <w:rPr>
          <w:rFonts w:ascii="Arial" w:hAnsi="Arial" w:cs="Arial"/>
          <w:sz w:val="24"/>
          <w:szCs w:val="24"/>
          <w:lang w:val="hr-BA"/>
        </w:rPr>
        <w:t>67</w:t>
      </w:r>
      <w:r w:rsidR="005D14C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je u izvještajnom periodu cijenjen u ukupno </w:t>
      </w:r>
      <w:r w:rsidR="00761996" w:rsidRPr="00BB684F">
        <w:rPr>
          <w:rFonts w:ascii="Arial" w:hAnsi="Arial" w:cs="Arial"/>
          <w:szCs w:val="24"/>
        </w:rPr>
        <w:t>7367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761996" w:rsidRPr="00BB684F">
        <w:rPr>
          <w:rFonts w:ascii="Arial" w:hAnsi="Arial" w:cs="Arial"/>
          <w:szCs w:val="24"/>
        </w:rPr>
        <w:t xml:space="preserve">6134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5D14C3" w:rsidRPr="00BB684F">
        <w:rPr>
          <w:rFonts w:ascii="Arial" w:hAnsi="Arial" w:cs="Arial"/>
          <w:szCs w:val="24"/>
        </w:rPr>
        <w:t>7</w:t>
      </w:r>
      <w:r w:rsidR="00761996" w:rsidRPr="00BB684F">
        <w:rPr>
          <w:rFonts w:ascii="Arial" w:hAnsi="Arial" w:cs="Arial"/>
          <w:szCs w:val="24"/>
        </w:rPr>
        <w:t>2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761996" w:rsidRPr="00BB684F">
        <w:rPr>
          <w:rFonts w:ascii="Arial" w:hAnsi="Arial" w:cs="Arial"/>
          <w:szCs w:val="24"/>
        </w:rPr>
        <w:t>122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761996" w:rsidRPr="00BB684F">
        <w:rPr>
          <w:rFonts w:ascii="Arial" w:hAnsi="Arial" w:cs="Arial"/>
          <w:szCs w:val="24"/>
        </w:rPr>
        <w:t>896</w:t>
      </w:r>
      <w:r w:rsidRPr="00BB684F">
        <w:rPr>
          <w:rFonts w:ascii="Arial" w:hAnsi="Arial" w:cs="Arial"/>
          <w:szCs w:val="24"/>
        </w:rPr>
        <w:t xml:space="preserve">  predmeta, prvi put utvrđen u 1</w:t>
      </w:r>
      <w:r w:rsidR="00761996" w:rsidRPr="00BB684F">
        <w:rPr>
          <w:rFonts w:ascii="Arial" w:hAnsi="Arial" w:cs="Arial"/>
          <w:szCs w:val="24"/>
        </w:rPr>
        <w:t>34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>U I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="00761996" w:rsidRPr="00BB684F">
        <w:rPr>
          <w:rFonts w:ascii="Arial" w:hAnsi="Arial" w:cs="Arial"/>
          <w:szCs w:val="24"/>
          <w:lang w:val="hr-BA"/>
        </w:rPr>
        <w:t xml:space="preserve"> 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761996" w:rsidRPr="00BB684F">
        <w:rPr>
          <w:rFonts w:ascii="Arial" w:hAnsi="Arial" w:cs="Arial"/>
          <w:szCs w:val="24"/>
        </w:rPr>
        <w:t>235</w:t>
      </w:r>
      <w:r w:rsidR="005D14C3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761996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761996" w:rsidRPr="00BB684F">
        <w:rPr>
          <w:rFonts w:ascii="Arial" w:hAnsi="Arial" w:cs="Arial"/>
          <w:szCs w:val="24"/>
        </w:rPr>
        <w:t>175</w:t>
      </w:r>
      <w:r w:rsidRPr="00BB684F">
        <w:rPr>
          <w:rFonts w:ascii="Arial" w:hAnsi="Arial" w:cs="Arial"/>
          <w:szCs w:val="24"/>
        </w:rPr>
        <w:t xml:space="preserve"> predmet</w:t>
      </w:r>
      <w:r w:rsidR="00621E4F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761996" w:rsidRPr="00BB684F">
        <w:rPr>
          <w:rFonts w:ascii="Arial" w:hAnsi="Arial" w:cs="Arial"/>
          <w:szCs w:val="24"/>
        </w:rPr>
        <w:t>2</w:t>
      </w:r>
      <w:r w:rsidR="00647713" w:rsidRPr="00BB684F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redmeta, smanjen u </w:t>
      </w:r>
      <w:r w:rsidR="005D14C3" w:rsidRPr="00BB684F">
        <w:rPr>
          <w:rFonts w:ascii="Arial" w:hAnsi="Arial" w:cs="Arial"/>
          <w:szCs w:val="24"/>
        </w:rPr>
        <w:t xml:space="preserve">11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761996" w:rsidRPr="00BB684F">
        <w:rPr>
          <w:rFonts w:ascii="Arial" w:hAnsi="Arial" w:cs="Arial"/>
          <w:szCs w:val="24"/>
        </w:rPr>
        <w:t>20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5D14C3" w:rsidRPr="00BB684F">
        <w:rPr>
          <w:rFonts w:ascii="Arial" w:hAnsi="Arial" w:cs="Arial"/>
          <w:szCs w:val="24"/>
        </w:rPr>
        <w:t>8</w:t>
      </w:r>
      <w:r w:rsidR="00761996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b) Dodatak za njegu i pomoć od drugog lica je u izvještajnom periodu cijenjen u ukupno </w:t>
      </w:r>
      <w:r w:rsidR="00761996" w:rsidRPr="00BB684F">
        <w:rPr>
          <w:rFonts w:ascii="Arial" w:hAnsi="Arial" w:cs="Arial"/>
          <w:szCs w:val="24"/>
        </w:rPr>
        <w:t>776</w:t>
      </w:r>
      <w:r w:rsidRPr="00BB684F">
        <w:rPr>
          <w:rFonts w:ascii="Arial" w:hAnsi="Arial" w:cs="Arial"/>
          <w:szCs w:val="24"/>
        </w:rPr>
        <w:t xml:space="preserve"> predmet</w:t>
      </w:r>
      <w:r w:rsidR="00761996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761996" w:rsidRPr="00BB684F">
        <w:rPr>
          <w:rFonts w:ascii="Arial" w:hAnsi="Arial" w:cs="Arial"/>
          <w:szCs w:val="24"/>
        </w:rPr>
        <w:t>696</w:t>
      </w:r>
      <w:r w:rsidRPr="00BB684F">
        <w:rPr>
          <w:rFonts w:ascii="Arial" w:hAnsi="Arial" w:cs="Arial"/>
          <w:szCs w:val="24"/>
        </w:rPr>
        <w:t xml:space="preserve"> predmeta, povećan u </w:t>
      </w:r>
      <w:r w:rsidR="00761996" w:rsidRPr="00BB684F">
        <w:rPr>
          <w:rFonts w:ascii="Arial" w:hAnsi="Arial" w:cs="Arial"/>
          <w:szCs w:val="24"/>
        </w:rPr>
        <w:t>8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761996" w:rsidRPr="00BB684F">
        <w:rPr>
          <w:rFonts w:ascii="Arial" w:hAnsi="Arial" w:cs="Arial"/>
          <w:szCs w:val="24"/>
        </w:rPr>
        <w:t>36</w:t>
      </w:r>
      <w:r w:rsidRPr="00BB684F">
        <w:rPr>
          <w:rFonts w:ascii="Arial" w:hAnsi="Arial" w:cs="Arial"/>
          <w:szCs w:val="24"/>
        </w:rPr>
        <w:t xml:space="preserve"> predmeta, ukinut u 2</w:t>
      </w:r>
      <w:r w:rsidR="00761996" w:rsidRPr="00BB684F">
        <w:rPr>
          <w:rFonts w:ascii="Arial" w:hAnsi="Arial" w:cs="Arial"/>
          <w:szCs w:val="24"/>
        </w:rPr>
        <w:t>9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761996" w:rsidRPr="00BB684F">
        <w:rPr>
          <w:rFonts w:ascii="Arial" w:hAnsi="Arial" w:cs="Arial"/>
          <w:szCs w:val="24"/>
        </w:rPr>
        <w:t>7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>U I kvartalu 201</w:t>
      </w:r>
      <w:r w:rsidR="00761996" w:rsidRPr="00BB684F">
        <w:rPr>
          <w:rFonts w:ascii="Arial" w:hAnsi="Arial" w:cs="Arial"/>
          <w:szCs w:val="24"/>
          <w:lang w:val="hr-BA"/>
        </w:rPr>
        <w:t>7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BB684F" w:rsidRPr="00BB684F">
        <w:rPr>
          <w:rFonts w:ascii="Arial" w:hAnsi="Arial" w:cs="Arial"/>
          <w:szCs w:val="24"/>
        </w:rPr>
        <w:t>145</w:t>
      </w:r>
      <w:r w:rsidRPr="00BB684F">
        <w:rPr>
          <w:rFonts w:ascii="Arial" w:hAnsi="Arial" w:cs="Arial"/>
          <w:szCs w:val="24"/>
        </w:rPr>
        <w:t xml:space="preserve"> predmeta korisnika prava na ličnu invalidninu, pri čemu je: u </w:t>
      </w:r>
      <w:r w:rsidR="00BB684F" w:rsidRPr="00BB684F">
        <w:rPr>
          <w:rFonts w:ascii="Arial" w:hAnsi="Arial" w:cs="Arial"/>
          <w:szCs w:val="24"/>
        </w:rPr>
        <w:t>1</w:t>
      </w:r>
      <w:r w:rsidR="005D14C3" w:rsidRPr="00BB684F">
        <w:rPr>
          <w:rFonts w:ascii="Arial" w:hAnsi="Arial" w:cs="Arial"/>
          <w:szCs w:val="24"/>
        </w:rPr>
        <w:t>30</w:t>
      </w:r>
      <w:r w:rsidRPr="00BB684F">
        <w:rPr>
          <w:rFonts w:ascii="Arial" w:hAnsi="Arial" w:cs="Arial"/>
          <w:szCs w:val="24"/>
        </w:rPr>
        <w:t xml:space="preserve"> 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1 predmetu, </w:t>
      </w:r>
      <w:r w:rsidRPr="00BB684F">
        <w:rPr>
          <w:rFonts w:ascii="Arial" w:hAnsi="Arial" w:cs="Arial"/>
          <w:szCs w:val="24"/>
        </w:rPr>
        <w:t xml:space="preserve">smanjen u </w:t>
      </w:r>
      <w:r w:rsidR="00BB684F" w:rsidRPr="00BB684F">
        <w:rPr>
          <w:rFonts w:ascii="Arial" w:hAnsi="Arial" w:cs="Arial"/>
          <w:szCs w:val="24"/>
        </w:rPr>
        <w:t>9</w:t>
      </w:r>
      <w:r w:rsidR="005D14C3" w:rsidRPr="00BB684F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3 predmeta i prvi put utvrđen u 2 predmeta. </w:t>
      </w:r>
    </w:p>
    <w:p w:rsidR="005D14C3" w:rsidRPr="00D62057" w:rsidRDefault="005D14C3" w:rsidP="00852F19">
      <w:pPr>
        <w:pStyle w:val="ListParagraph"/>
        <w:ind w:left="0"/>
        <w:jc w:val="both"/>
        <w:rPr>
          <w:rFonts w:ascii="Arial" w:hAnsi="Arial" w:cs="Arial"/>
          <w:b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  <w:r w:rsidR="00D62057">
        <w:rPr>
          <w:rFonts w:ascii="Arial" w:hAnsi="Arial" w:cs="Arial"/>
          <w:b/>
          <w:sz w:val="24"/>
          <w:szCs w:val="24"/>
        </w:rPr>
        <w:t xml:space="preserve"> </w:t>
      </w:r>
    </w:p>
    <w:p w:rsidR="00354D42" w:rsidRDefault="00354D42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8E201A" w:rsidRPr="003024B8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 xml:space="preserve">d početka primjene Zakona ukupno je prema </w:t>
      </w:r>
      <w:r w:rsidR="00D96E71">
        <w:rPr>
          <w:rFonts w:ascii="Arial" w:hAnsi="Arial" w:cs="Arial"/>
          <w:sz w:val="24"/>
          <w:szCs w:val="24"/>
        </w:rPr>
        <w:t>podacima sa kojima raspolaže ovo Ministarstvo pokrenut</w:t>
      </w:r>
      <w:r w:rsidR="00D62057">
        <w:rPr>
          <w:rFonts w:ascii="Arial" w:hAnsi="Arial" w:cs="Arial"/>
          <w:sz w:val="24"/>
          <w:szCs w:val="24"/>
        </w:rPr>
        <w:t xml:space="preserve"> </w:t>
      </w:r>
      <w:r w:rsidR="00EA2411">
        <w:rPr>
          <w:rFonts w:ascii="Arial" w:hAnsi="Arial" w:cs="Arial"/>
          <w:sz w:val="24"/>
          <w:szCs w:val="24"/>
        </w:rPr>
        <w:t>4931</w:t>
      </w:r>
      <w:r w:rsidR="001F65CB" w:rsidRPr="003024B8">
        <w:rPr>
          <w:rFonts w:ascii="Arial" w:hAnsi="Arial" w:cs="Arial"/>
          <w:sz w:val="24"/>
          <w:szCs w:val="24"/>
        </w:rPr>
        <w:t xml:space="preserve"> upravni spor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>istog</w:t>
      </w:r>
      <w:r w:rsidR="00D62057">
        <w:rPr>
          <w:rFonts w:ascii="Arial" w:hAnsi="Arial" w:cs="Arial"/>
          <w:sz w:val="24"/>
          <w:szCs w:val="24"/>
        </w:rPr>
        <w:t xml:space="preserve">. U prvom </w:t>
      </w:r>
      <w:r w:rsidR="00A83DA2" w:rsidRPr="003024B8">
        <w:rPr>
          <w:rFonts w:ascii="Arial" w:hAnsi="Arial" w:cs="Arial"/>
          <w:sz w:val="24"/>
          <w:szCs w:val="24"/>
        </w:rPr>
        <w:t>kvartalu 201</w:t>
      </w:r>
      <w:r w:rsidR="00D62057">
        <w:rPr>
          <w:rFonts w:ascii="Arial" w:hAnsi="Arial" w:cs="Arial"/>
          <w:sz w:val="24"/>
          <w:szCs w:val="24"/>
        </w:rPr>
        <w:t>7</w:t>
      </w:r>
      <w:r w:rsidR="00A83DA2" w:rsidRPr="003024B8">
        <w:rPr>
          <w:rFonts w:ascii="Arial" w:hAnsi="Arial" w:cs="Arial"/>
          <w:sz w:val="24"/>
          <w:szCs w:val="24"/>
        </w:rPr>
        <w:t xml:space="preserve">. </w:t>
      </w:r>
      <w:r w:rsidR="00EA2411">
        <w:rPr>
          <w:rFonts w:ascii="Arial" w:hAnsi="Arial" w:cs="Arial"/>
          <w:sz w:val="24"/>
          <w:szCs w:val="24"/>
        </w:rPr>
        <w:t>g</w:t>
      </w:r>
      <w:r w:rsidR="00A83DA2" w:rsidRPr="003024B8">
        <w:rPr>
          <w:rFonts w:ascii="Arial" w:hAnsi="Arial" w:cs="Arial"/>
          <w:sz w:val="24"/>
          <w:szCs w:val="24"/>
        </w:rPr>
        <w:t>odine</w:t>
      </w:r>
      <w:r w:rsidR="00EA2411">
        <w:rPr>
          <w:rFonts w:ascii="Arial" w:hAnsi="Arial" w:cs="Arial"/>
          <w:sz w:val="24"/>
          <w:szCs w:val="24"/>
        </w:rPr>
        <w:t xml:space="preserve"> Vrhovni sud FBiH aktom je zatražio dostavu odgovora na tužbu u </w:t>
      </w:r>
      <w:r w:rsidR="008D3AC9">
        <w:rPr>
          <w:rFonts w:ascii="Arial" w:hAnsi="Arial" w:cs="Arial"/>
          <w:sz w:val="24"/>
          <w:szCs w:val="24"/>
        </w:rPr>
        <w:t>4</w:t>
      </w:r>
      <w:r w:rsidR="00D62057">
        <w:rPr>
          <w:rFonts w:ascii="Arial" w:hAnsi="Arial" w:cs="Arial"/>
          <w:sz w:val="24"/>
          <w:szCs w:val="24"/>
        </w:rPr>
        <w:t>6</w:t>
      </w:r>
      <w:r w:rsidR="00EA2411">
        <w:rPr>
          <w:rFonts w:ascii="Arial" w:hAnsi="Arial" w:cs="Arial"/>
          <w:sz w:val="24"/>
          <w:szCs w:val="24"/>
        </w:rPr>
        <w:t xml:space="preserve"> predmeta, u </w:t>
      </w:r>
      <w:r w:rsidR="00D62057">
        <w:rPr>
          <w:rFonts w:ascii="Arial" w:hAnsi="Arial" w:cs="Arial"/>
          <w:sz w:val="24"/>
          <w:szCs w:val="24"/>
        </w:rPr>
        <w:t>201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D62057">
        <w:rPr>
          <w:rFonts w:ascii="Arial" w:hAnsi="Arial" w:cs="Arial"/>
          <w:sz w:val="24"/>
          <w:szCs w:val="24"/>
        </w:rPr>
        <w:t>u</w:t>
      </w:r>
      <w:r w:rsidR="00EA2411">
        <w:rPr>
          <w:rFonts w:ascii="Arial" w:hAnsi="Arial" w:cs="Arial"/>
          <w:sz w:val="24"/>
          <w:szCs w:val="24"/>
        </w:rPr>
        <w:t xml:space="preserve"> dostavljen je odgovor na tužbu sa spisima predmeta, u </w:t>
      </w:r>
      <w:r w:rsidR="008D3AC9">
        <w:rPr>
          <w:rFonts w:ascii="Arial" w:hAnsi="Arial" w:cs="Arial"/>
          <w:sz w:val="24"/>
          <w:szCs w:val="24"/>
        </w:rPr>
        <w:t>2</w:t>
      </w:r>
      <w:r w:rsidR="00D62057">
        <w:rPr>
          <w:rFonts w:ascii="Arial" w:hAnsi="Arial" w:cs="Arial"/>
          <w:sz w:val="24"/>
          <w:szCs w:val="24"/>
        </w:rPr>
        <w:t>32</w:t>
      </w:r>
      <w:r w:rsidR="00EA2411">
        <w:rPr>
          <w:rFonts w:ascii="Arial" w:hAnsi="Arial" w:cs="Arial"/>
          <w:sz w:val="24"/>
          <w:szCs w:val="24"/>
        </w:rPr>
        <w:t xml:space="preserve"> predmeta </w:t>
      </w:r>
      <w:r w:rsidR="008E201A" w:rsidRPr="003024B8">
        <w:rPr>
          <w:rFonts w:ascii="Arial" w:hAnsi="Arial" w:cs="Arial"/>
          <w:sz w:val="24"/>
          <w:szCs w:val="24"/>
        </w:rPr>
        <w:t xml:space="preserve">sud je poništio rješenja Ministarstva i predmete vratio na ponovni postupak, u </w:t>
      </w:r>
      <w:r w:rsidR="00B9366D">
        <w:rPr>
          <w:rFonts w:ascii="Arial" w:hAnsi="Arial" w:cs="Arial"/>
          <w:sz w:val="24"/>
          <w:szCs w:val="24"/>
        </w:rPr>
        <w:t>4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EA2411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tužb</w:t>
      </w:r>
      <w:r w:rsidR="00EA2411">
        <w:rPr>
          <w:rFonts w:ascii="Arial" w:hAnsi="Arial" w:cs="Arial"/>
          <w:sz w:val="24"/>
          <w:szCs w:val="24"/>
        </w:rPr>
        <w:t xml:space="preserve">a je </w:t>
      </w:r>
      <w:r w:rsidR="008E201A" w:rsidRPr="003024B8">
        <w:rPr>
          <w:rFonts w:ascii="Arial" w:hAnsi="Arial" w:cs="Arial"/>
          <w:sz w:val="24"/>
          <w:szCs w:val="24"/>
        </w:rPr>
        <w:t>odbačen</w:t>
      </w:r>
      <w:r w:rsidR="00EA2411">
        <w:rPr>
          <w:rFonts w:ascii="Arial" w:hAnsi="Arial" w:cs="Arial"/>
          <w:sz w:val="24"/>
          <w:szCs w:val="24"/>
        </w:rPr>
        <w:t>a</w:t>
      </w:r>
      <w:r w:rsidR="00B9366D">
        <w:rPr>
          <w:rFonts w:ascii="Arial" w:hAnsi="Arial" w:cs="Arial"/>
          <w:sz w:val="24"/>
          <w:szCs w:val="24"/>
        </w:rPr>
        <w:t>, dok je u 6 predmeta sud odlučio u meritumu</w:t>
      </w:r>
      <w:r w:rsidR="00EA2411">
        <w:rPr>
          <w:rFonts w:ascii="Arial" w:hAnsi="Arial" w:cs="Arial"/>
          <w:sz w:val="24"/>
          <w:szCs w:val="24"/>
        </w:rPr>
        <w:t xml:space="preserve">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početka revizije </w:t>
      </w:r>
      <w:r w:rsidR="00EA2411">
        <w:rPr>
          <w:rFonts w:ascii="Arial" w:hAnsi="Arial" w:cs="Arial"/>
          <w:sz w:val="24"/>
          <w:szCs w:val="24"/>
        </w:rPr>
        <w:t>2</w:t>
      </w:r>
      <w:r w:rsidR="008D3AC9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EA2411">
        <w:rPr>
          <w:rFonts w:ascii="Arial" w:hAnsi="Arial" w:cs="Arial"/>
          <w:sz w:val="24"/>
          <w:szCs w:val="24"/>
        </w:rPr>
        <w:t>10</w:t>
      </w:r>
      <w:r w:rsidR="00B9366D">
        <w:rPr>
          <w:rFonts w:ascii="Arial" w:hAnsi="Arial" w:cs="Arial"/>
          <w:sz w:val="24"/>
          <w:szCs w:val="24"/>
        </w:rPr>
        <w:t>9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ih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ova</w:t>
      </w:r>
      <w:r w:rsidR="00700502" w:rsidRPr="003024B8">
        <w:rPr>
          <w:rFonts w:ascii="Arial" w:hAnsi="Arial" w:cs="Arial"/>
          <w:sz w:val="24"/>
          <w:szCs w:val="24"/>
        </w:rPr>
        <w:t xml:space="preserve"> okončan</w:t>
      </w:r>
      <w:r w:rsidR="00354D42">
        <w:rPr>
          <w:rFonts w:ascii="Arial" w:hAnsi="Arial" w:cs="Arial"/>
          <w:sz w:val="24"/>
          <w:szCs w:val="24"/>
        </w:rPr>
        <w:t>o je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B9366D">
        <w:rPr>
          <w:rFonts w:ascii="Arial" w:hAnsi="Arial" w:cs="Arial"/>
          <w:sz w:val="24"/>
          <w:szCs w:val="24"/>
        </w:rPr>
        <w:t xml:space="preserve">3143 </w:t>
      </w:r>
      <w:r w:rsidRPr="003024B8">
        <w:rPr>
          <w:rFonts w:ascii="Arial" w:hAnsi="Arial" w:cs="Arial"/>
          <w:sz w:val="24"/>
          <w:szCs w:val="24"/>
        </w:rPr>
        <w:t>upravnih sporova sud je poništio prvostepena rješenja i predmete vratio na ponovni postupak.</w:t>
      </w:r>
    </w:p>
    <w:p w:rsidR="00B9366D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FMB2 obrascu i na nalaze i mišljenja ljekarskih komisija,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 kao i zbog odluka Ustavnog suda FBiH</w:t>
      </w:r>
      <w:r w:rsidR="00D96E71">
        <w:rPr>
          <w:rFonts w:ascii="Arial" w:hAnsi="Arial" w:cs="Arial"/>
          <w:sz w:val="24"/>
          <w:szCs w:val="24"/>
        </w:rPr>
        <w:t xml:space="preserve"> da član 9.</w:t>
      </w:r>
      <w:r w:rsidR="00B9366D" w:rsidRPr="00B9366D">
        <w:rPr>
          <w:rFonts w:ascii="Arial" w:hAnsi="Arial" w:cs="Arial"/>
          <w:sz w:val="24"/>
          <w:szCs w:val="24"/>
        </w:rPr>
        <w:t xml:space="preserve"> </w:t>
      </w:r>
      <w:r w:rsidR="00D96E71">
        <w:rPr>
          <w:rFonts w:ascii="Arial" w:hAnsi="Arial" w:cs="Arial"/>
          <w:sz w:val="24"/>
          <w:szCs w:val="24"/>
        </w:rPr>
        <w:t xml:space="preserve"> Zakona o reviziji nije u suglasnosti sa Ustavom</w:t>
      </w:r>
      <w:r w:rsidRPr="003024B8">
        <w:rPr>
          <w:rFonts w:ascii="Arial" w:hAnsi="Arial" w:cs="Arial"/>
          <w:sz w:val="24"/>
          <w:szCs w:val="24"/>
        </w:rPr>
        <w:t>.</w:t>
      </w:r>
      <w:bookmarkStart w:id="22" w:name="_Toc308522067"/>
      <w:bookmarkStart w:id="23" w:name="_Toc291259773"/>
      <w:r w:rsidR="00B9366D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B9366D" w:rsidRDefault="00B9366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92BAD" w:rsidRPr="003024B8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="008D3AC9">
        <w:rPr>
          <w:rFonts w:ascii="Arial" w:hAnsi="Arial" w:cs="Arial"/>
          <w:b/>
          <w:color w:val="000000" w:themeColor="text1"/>
          <w:sz w:val="24"/>
          <w:szCs w:val="24"/>
        </w:rPr>
        <w:t xml:space="preserve"> u </w:t>
      </w:r>
      <w:r w:rsidR="00B9366D">
        <w:rPr>
          <w:rFonts w:ascii="Arial" w:hAnsi="Arial" w:cs="Arial"/>
          <w:b/>
          <w:color w:val="000000" w:themeColor="text1"/>
          <w:sz w:val="24"/>
          <w:szCs w:val="24"/>
        </w:rPr>
        <w:t xml:space="preserve">I kvartalu </w:t>
      </w:r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B9366D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. godin</w:t>
      </w:r>
      <w:r w:rsidR="00B9366D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End w:id="22"/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3024B8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F5670" w:rsidRDefault="00A5751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FC">
        <w:rPr>
          <w:rFonts w:ascii="Arial" w:hAnsi="Arial" w:cs="Arial"/>
          <w:sz w:val="24"/>
          <w:szCs w:val="24"/>
        </w:rPr>
        <w:t>Po podacima sa kojim raspolaže Ministarstvo u period od 1.1. do 31.</w:t>
      </w:r>
      <w:r w:rsidR="00B9366D">
        <w:rPr>
          <w:rFonts w:ascii="Arial" w:hAnsi="Arial" w:cs="Arial"/>
          <w:sz w:val="24"/>
          <w:szCs w:val="24"/>
        </w:rPr>
        <w:t>3</w:t>
      </w:r>
      <w:r w:rsidRPr="00FF65FC">
        <w:rPr>
          <w:rFonts w:ascii="Arial" w:hAnsi="Arial" w:cs="Arial"/>
          <w:sz w:val="24"/>
          <w:szCs w:val="24"/>
        </w:rPr>
        <w:t>.201</w:t>
      </w:r>
      <w:r w:rsidR="00B9366D">
        <w:rPr>
          <w:rFonts w:ascii="Arial" w:hAnsi="Arial" w:cs="Arial"/>
          <w:sz w:val="24"/>
          <w:szCs w:val="24"/>
        </w:rPr>
        <w:t>7</w:t>
      </w:r>
      <w:r w:rsidRPr="00FF65FC">
        <w:rPr>
          <w:rFonts w:ascii="Arial" w:hAnsi="Arial" w:cs="Arial"/>
          <w:sz w:val="24"/>
          <w:szCs w:val="24"/>
        </w:rPr>
        <w:t>. godine</w:t>
      </w:r>
      <w:r w:rsidR="009F5670">
        <w:rPr>
          <w:rFonts w:ascii="Arial" w:hAnsi="Arial" w:cs="Arial"/>
          <w:sz w:val="24"/>
          <w:szCs w:val="24"/>
        </w:rPr>
        <w:t>:</w:t>
      </w:r>
    </w:p>
    <w:p w:rsidR="009F5670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7511" w:rsidRPr="00FF65FC">
        <w:rPr>
          <w:rFonts w:ascii="Arial" w:hAnsi="Arial" w:cs="Arial"/>
          <w:sz w:val="24"/>
          <w:szCs w:val="24"/>
        </w:rPr>
        <w:t xml:space="preserve"> po osnovu lične </w:t>
      </w:r>
      <w:r w:rsidR="00FF65FC" w:rsidRPr="00FF65FC">
        <w:rPr>
          <w:rFonts w:ascii="Arial" w:hAnsi="Arial" w:cs="Arial"/>
          <w:sz w:val="24"/>
          <w:szCs w:val="24"/>
        </w:rPr>
        <w:t>i</w:t>
      </w:r>
      <w:r w:rsidR="00A57511" w:rsidRPr="00FF65FC">
        <w:rPr>
          <w:rFonts w:ascii="Arial" w:hAnsi="Arial" w:cs="Arial"/>
          <w:sz w:val="24"/>
          <w:szCs w:val="24"/>
        </w:rPr>
        <w:t xml:space="preserve"> porodične invalidnine isplaćeno je ukupno </w:t>
      </w:r>
      <w:r w:rsidR="00B9366D">
        <w:rPr>
          <w:rFonts w:ascii="Arial" w:hAnsi="Arial" w:cs="Arial"/>
          <w:sz w:val="24"/>
          <w:szCs w:val="24"/>
        </w:rPr>
        <w:t>70.406.526,43</w:t>
      </w:r>
      <w:r w:rsidR="00FF65FC" w:rsidRPr="00FF65FC">
        <w:rPr>
          <w:rFonts w:ascii="Arial" w:hAnsi="Arial" w:cs="Arial"/>
          <w:sz w:val="24"/>
          <w:szCs w:val="24"/>
        </w:rPr>
        <w:t xml:space="preserve"> KM dok je za navedeni period iznos budžetom odobrenih novčanih sredstava iznosio </w:t>
      </w:r>
      <w:r w:rsidR="00B9366D">
        <w:rPr>
          <w:rFonts w:ascii="Arial" w:hAnsi="Arial" w:cs="Arial"/>
          <w:sz w:val="24"/>
          <w:szCs w:val="24"/>
        </w:rPr>
        <w:t>72.957.500,01</w:t>
      </w:r>
      <w:r w:rsidR="00FF65FC" w:rsidRPr="00FF65FC">
        <w:rPr>
          <w:rFonts w:ascii="Arial" w:hAnsi="Arial" w:cs="Arial"/>
          <w:sz w:val="24"/>
          <w:szCs w:val="24"/>
        </w:rPr>
        <w:t xml:space="preserve"> KM. Iz navedenih pokazatelja evidentno je da je po navedenom osnovu isplaćeno manje novčanih sredstava u iznosu od </w:t>
      </w:r>
      <w:r w:rsidR="00B9366D">
        <w:rPr>
          <w:rFonts w:ascii="Arial" w:hAnsi="Arial" w:cs="Arial"/>
          <w:sz w:val="24"/>
          <w:szCs w:val="24"/>
        </w:rPr>
        <w:t>2.550.973,58</w:t>
      </w:r>
      <w:r w:rsidR="00FF65FC" w:rsidRPr="00FF65FC">
        <w:rPr>
          <w:rFonts w:ascii="Arial" w:hAnsi="Arial" w:cs="Arial"/>
          <w:sz w:val="24"/>
          <w:szCs w:val="24"/>
        </w:rPr>
        <w:t xml:space="preserve"> KM.  Po raspoloživim podacima u mjesecu januaru broj korisnika prava na ličnu i porodičnu invalidninu bio je </w:t>
      </w:r>
      <w:r w:rsidR="00B9366D">
        <w:rPr>
          <w:rFonts w:ascii="Arial" w:hAnsi="Arial" w:cs="Arial"/>
          <w:sz w:val="24"/>
          <w:szCs w:val="24"/>
        </w:rPr>
        <w:t>88.400</w:t>
      </w:r>
      <w:r w:rsidR="00FF65FC" w:rsidRPr="00FF65FC">
        <w:rPr>
          <w:rFonts w:ascii="Arial" w:hAnsi="Arial" w:cs="Arial"/>
          <w:sz w:val="24"/>
          <w:szCs w:val="24"/>
        </w:rPr>
        <w:t xml:space="preserve"> dok je ist</w:t>
      </w:r>
      <w:r w:rsidR="00354D42">
        <w:rPr>
          <w:rFonts w:ascii="Arial" w:hAnsi="Arial" w:cs="Arial"/>
          <w:sz w:val="24"/>
          <w:szCs w:val="24"/>
        </w:rPr>
        <w:t>i</w:t>
      </w:r>
      <w:r w:rsidR="00FF65FC" w:rsidRPr="00FF65FC">
        <w:rPr>
          <w:rFonts w:ascii="Arial" w:hAnsi="Arial" w:cs="Arial"/>
          <w:sz w:val="24"/>
          <w:szCs w:val="24"/>
        </w:rPr>
        <w:t xml:space="preserve"> zaključno sa mjesecom </w:t>
      </w:r>
      <w:r w:rsidR="00B9366D">
        <w:rPr>
          <w:rFonts w:ascii="Arial" w:hAnsi="Arial" w:cs="Arial"/>
          <w:sz w:val="24"/>
          <w:szCs w:val="24"/>
        </w:rPr>
        <w:t xml:space="preserve">martom </w:t>
      </w:r>
      <w:r w:rsidR="00FF65FC" w:rsidRPr="00FF65FC">
        <w:rPr>
          <w:rFonts w:ascii="Arial" w:hAnsi="Arial" w:cs="Arial"/>
          <w:sz w:val="24"/>
          <w:szCs w:val="24"/>
        </w:rPr>
        <w:t>bio 8</w:t>
      </w:r>
      <w:r w:rsidR="00B9366D">
        <w:rPr>
          <w:rFonts w:ascii="Arial" w:hAnsi="Arial" w:cs="Arial"/>
          <w:sz w:val="24"/>
          <w:szCs w:val="24"/>
        </w:rPr>
        <w:t>8</w:t>
      </w:r>
      <w:r w:rsidR="00FF65FC" w:rsidRPr="00FF65FC">
        <w:rPr>
          <w:rFonts w:ascii="Arial" w:hAnsi="Arial" w:cs="Arial"/>
          <w:sz w:val="24"/>
          <w:szCs w:val="24"/>
        </w:rPr>
        <w:t>.</w:t>
      </w:r>
      <w:r w:rsidR="00B9366D">
        <w:rPr>
          <w:rFonts w:ascii="Arial" w:hAnsi="Arial" w:cs="Arial"/>
          <w:sz w:val="24"/>
          <w:szCs w:val="24"/>
        </w:rPr>
        <w:t>165</w:t>
      </w:r>
      <w:r w:rsidR="00FF65FC" w:rsidRPr="00FF65FC">
        <w:rPr>
          <w:rFonts w:ascii="Arial" w:hAnsi="Arial" w:cs="Arial"/>
          <w:sz w:val="24"/>
          <w:szCs w:val="24"/>
        </w:rPr>
        <w:t xml:space="preserve">, odnosno </w:t>
      </w:r>
      <w:r w:rsidR="00B9366D">
        <w:rPr>
          <w:rFonts w:ascii="Arial" w:hAnsi="Arial" w:cs="Arial"/>
          <w:sz w:val="24"/>
          <w:szCs w:val="24"/>
        </w:rPr>
        <w:t>235</w:t>
      </w:r>
      <w:r w:rsidR="00FF65FC" w:rsidRPr="00FF65FC">
        <w:rPr>
          <w:rFonts w:ascii="Arial" w:hAnsi="Arial" w:cs="Arial"/>
          <w:sz w:val="24"/>
          <w:szCs w:val="24"/>
        </w:rPr>
        <w:t xml:space="preserve"> korisnika manje</w:t>
      </w:r>
      <w:r>
        <w:rPr>
          <w:rFonts w:ascii="Arial" w:hAnsi="Arial" w:cs="Arial"/>
          <w:sz w:val="24"/>
          <w:szCs w:val="24"/>
        </w:rPr>
        <w:t>,</w:t>
      </w:r>
    </w:p>
    <w:p w:rsidR="009869E1" w:rsidRPr="00FF65FC" w:rsidRDefault="009F5670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osnovu prava na mjesečni novčani dodatak isplaćeno je ukupno 3.868.586,45 KM dok je za navedeni period  iznos budžetom odobrenih novčanih sredstava iznosio 4.374.999,99 KM</w:t>
      </w:r>
      <w:r w:rsidR="00FF65FC" w:rsidRPr="00FF65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iz navedenih pokazatelja evidentno je da je po navedenom osnovu isplaćeno manje novčanih sredstava u iznosu od 506.413,54 KM.  po raspoloživim podacima u mjesecu januaru broj korisnika prava na mjesečni novčani dodatak bio je 4977 dok je isti broj zaključno sa mjesecom martom bio 4970, odnosno 7 korisnika manje.</w:t>
      </w:r>
      <w:r w:rsidR="00FF65FC" w:rsidRPr="00FF65FC">
        <w:rPr>
          <w:rFonts w:ascii="Arial" w:hAnsi="Arial" w:cs="Arial"/>
          <w:sz w:val="24"/>
          <w:szCs w:val="24"/>
        </w:rPr>
        <w:t xml:space="preserve"> </w:t>
      </w:r>
    </w:p>
    <w:p w:rsidR="009869E1" w:rsidRPr="00FF65FC" w:rsidRDefault="009869E1" w:rsidP="009869E1">
      <w:pPr>
        <w:pStyle w:val="NoSpacing"/>
        <w:rPr>
          <w:rFonts w:ascii="Arial" w:hAnsi="Arial" w:cs="Arial"/>
          <w:sz w:val="24"/>
          <w:szCs w:val="24"/>
        </w:rPr>
      </w:pPr>
    </w:p>
    <w:p w:rsidR="00EC706B" w:rsidRPr="00FF65FC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FC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 w:rsidRPr="00FF65FC">
        <w:rPr>
          <w:rFonts w:ascii="Arial" w:hAnsi="Arial" w:cs="Arial"/>
          <w:sz w:val="24"/>
          <w:szCs w:val="24"/>
        </w:rPr>
        <w:t>a</w:t>
      </w:r>
      <w:r w:rsidRPr="00FF65FC">
        <w:rPr>
          <w:rFonts w:ascii="Arial" w:hAnsi="Arial" w:cs="Arial"/>
          <w:sz w:val="24"/>
          <w:szCs w:val="24"/>
        </w:rPr>
        <w:t>va u postupcima inspekcijskog nadzora</w:t>
      </w:r>
      <w:r w:rsidR="00FB731C" w:rsidRPr="00FF65FC">
        <w:rPr>
          <w:rFonts w:ascii="Arial" w:hAnsi="Arial" w:cs="Arial"/>
          <w:sz w:val="24"/>
          <w:szCs w:val="24"/>
        </w:rPr>
        <w:t>.</w:t>
      </w: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od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4" w:name="_Toc308522069"/>
      <w:r w:rsidR="001959C5" w:rsidRPr="003024B8">
        <w:rPr>
          <w:rFonts w:ascii="Arial" w:hAnsi="Arial" w:cs="Arial"/>
          <w:sz w:val="24"/>
          <w:szCs w:val="24"/>
        </w:rPr>
        <w:t>isti je do 3</w:t>
      </w:r>
      <w:r w:rsidR="004E5FC6">
        <w:rPr>
          <w:rFonts w:ascii="Arial" w:hAnsi="Arial" w:cs="Arial"/>
          <w:sz w:val="24"/>
          <w:szCs w:val="24"/>
        </w:rPr>
        <w:t>1</w:t>
      </w:r>
      <w:r w:rsidR="001959C5" w:rsidRPr="003024B8">
        <w:rPr>
          <w:rFonts w:ascii="Arial" w:hAnsi="Arial" w:cs="Arial"/>
          <w:sz w:val="24"/>
          <w:szCs w:val="24"/>
        </w:rPr>
        <w:t>.</w:t>
      </w:r>
      <w:r w:rsidR="009F5670">
        <w:rPr>
          <w:rFonts w:ascii="Arial" w:hAnsi="Arial" w:cs="Arial"/>
          <w:sz w:val="24"/>
          <w:szCs w:val="24"/>
        </w:rPr>
        <w:t>3</w:t>
      </w:r>
      <w:r w:rsidR="001959C5"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="001959C5" w:rsidRPr="003024B8">
        <w:rPr>
          <w:rFonts w:ascii="Arial" w:hAnsi="Arial" w:cs="Arial"/>
          <w:sz w:val="24"/>
          <w:szCs w:val="24"/>
        </w:rPr>
        <w:t>. godine zaprimio 1.22</w:t>
      </w:r>
      <w:r w:rsidR="009F5670">
        <w:rPr>
          <w:rFonts w:ascii="Arial" w:hAnsi="Arial" w:cs="Arial"/>
          <w:sz w:val="24"/>
          <w:szCs w:val="24"/>
        </w:rPr>
        <w:t>8</w:t>
      </w:r>
      <w:r w:rsidR="001959C5" w:rsidRPr="003024B8">
        <w:rPr>
          <w:rFonts w:ascii="Arial" w:hAnsi="Arial" w:cs="Arial"/>
          <w:sz w:val="24"/>
          <w:szCs w:val="24"/>
        </w:rPr>
        <w:t xml:space="preserve">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 w:rsidR="00370F2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predmeta, a za </w:t>
      </w:r>
      <w:r w:rsidR="00E37241">
        <w:rPr>
          <w:rFonts w:ascii="Arial" w:hAnsi="Arial" w:cs="Arial"/>
          <w:sz w:val="24"/>
          <w:szCs w:val="24"/>
        </w:rPr>
        <w:t>18</w:t>
      </w:r>
      <w:r w:rsidR="009F5670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 xml:space="preserve">istih od strane ovog Ministarstva. 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obrađenih predmeta za </w:t>
      </w:r>
      <w:r w:rsidR="00E37241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50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</w:t>
      </w:r>
      <w:r w:rsidR="004E5FC6">
        <w:rPr>
          <w:rFonts w:ascii="Arial" w:hAnsi="Arial" w:cs="Arial"/>
          <w:sz w:val="24"/>
          <w:szCs w:val="24"/>
        </w:rPr>
        <w:t>9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umrli,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</w:t>
      </w:r>
      <w:r w:rsidR="009F5670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FMB1 za </w:t>
      </w:r>
      <w:r w:rsidR="00E37241">
        <w:rPr>
          <w:rFonts w:ascii="Arial" w:hAnsi="Arial" w:cs="Arial"/>
          <w:sz w:val="24"/>
          <w:szCs w:val="24"/>
        </w:rPr>
        <w:t>3</w:t>
      </w:r>
      <w:r w:rsidR="009F5670">
        <w:rPr>
          <w:rFonts w:ascii="Arial" w:hAnsi="Arial" w:cs="Arial"/>
          <w:sz w:val="24"/>
          <w:szCs w:val="24"/>
        </w:rPr>
        <w:t>49</w:t>
      </w:r>
      <w:r w:rsidRPr="003024B8">
        <w:rPr>
          <w:rFonts w:ascii="Arial" w:hAnsi="Arial" w:cs="Arial"/>
          <w:sz w:val="24"/>
          <w:szCs w:val="24"/>
        </w:rPr>
        <w:t xml:space="preserve"> 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E37241">
        <w:rPr>
          <w:rFonts w:ascii="Arial" w:hAnsi="Arial" w:cs="Arial"/>
          <w:sz w:val="24"/>
          <w:szCs w:val="24"/>
        </w:rPr>
        <w:t>3</w:t>
      </w:r>
      <w:r w:rsidR="009F5670">
        <w:rPr>
          <w:rFonts w:ascii="Arial" w:hAnsi="Arial" w:cs="Arial"/>
          <w:sz w:val="24"/>
          <w:szCs w:val="24"/>
        </w:rPr>
        <w:t>66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 xml:space="preserve">. Za </w:t>
      </w:r>
      <w:r w:rsidR="009F5670">
        <w:rPr>
          <w:rFonts w:ascii="Arial" w:hAnsi="Arial" w:cs="Arial"/>
          <w:sz w:val="24"/>
          <w:szCs w:val="24"/>
        </w:rPr>
        <w:t>206</w:t>
      </w:r>
      <w:r w:rsidRPr="003024B8">
        <w:rPr>
          <w:rFonts w:ascii="Arial" w:hAnsi="Arial" w:cs="Arial"/>
          <w:sz w:val="24"/>
          <w:szCs w:val="24"/>
        </w:rPr>
        <w:t xml:space="preserve">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FMB2, ali</w:t>
      </w:r>
      <w:r w:rsidR="009F5670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Za razdoblje od 05.07.2010. do 3</w:t>
      </w:r>
      <w:r w:rsidR="004E5FC6"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>.</w:t>
      </w:r>
      <w:r w:rsidR="009F5670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>.201</w:t>
      </w:r>
      <w:r w:rsidR="009F5670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. godine,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4E5FC6">
        <w:rPr>
          <w:rFonts w:ascii="Arial" w:hAnsi="Arial" w:cs="Arial"/>
          <w:sz w:val="24"/>
          <w:szCs w:val="24"/>
        </w:rPr>
        <w:t>19</w:t>
      </w:r>
      <w:r w:rsidR="009F5670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E46520" w:rsidRPr="001959C5" w:rsidRDefault="00D44FDC" w:rsidP="00345EC8">
      <w:pPr>
        <w:jc w:val="both"/>
        <w:rPr>
          <w:rFonts w:ascii="Arial" w:hAnsi="Arial" w:cs="Arial"/>
          <w:sz w:val="32"/>
          <w:szCs w:val="32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Iznos mjesečne uštede temeljem rješenja o obustavi isplate priznatog prava na penziju ili rješenja o prestanku prava je </w:t>
      </w:r>
      <w:r w:rsidR="00E37241">
        <w:rPr>
          <w:rFonts w:ascii="Arial" w:hAnsi="Arial" w:cs="Arial"/>
          <w:sz w:val="24"/>
          <w:szCs w:val="24"/>
        </w:rPr>
        <w:t>2</w:t>
      </w:r>
      <w:r w:rsidR="009F5670">
        <w:rPr>
          <w:rFonts w:ascii="Arial" w:hAnsi="Arial" w:cs="Arial"/>
          <w:sz w:val="24"/>
          <w:szCs w:val="24"/>
        </w:rPr>
        <w:t>59.375,86</w:t>
      </w:r>
      <w:r w:rsidRPr="003024B8">
        <w:rPr>
          <w:rFonts w:ascii="Arial" w:hAnsi="Arial" w:cs="Arial"/>
          <w:sz w:val="24"/>
          <w:szCs w:val="24"/>
        </w:rPr>
        <w:t xml:space="preserve"> KM</w:t>
      </w:r>
      <w:r w:rsidR="00FF65FC">
        <w:rPr>
          <w:rFonts w:ascii="Arial" w:hAnsi="Arial" w:cs="Arial"/>
          <w:sz w:val="24"/>
          <w:szCs w:val="24"/>
        </w:rPr>
        <w:t xml:space="preserve">, što bi na </w:t>
      </w:r>
      <w:r w:rsidR="009774E5">
        <w:rPr>
          <w:rFonts w:ascii="Arial" w:hAnsi="Arial" w:cs="Arial"/>
          <w:sz w:val="24"/>
          <w:szCs w:val="24"/>
        </w:rPr>
        <w:t xml:space="preserve">nivou prvog kvartala 2017. godine </w:t>
      </w:r>
      <w:r w:rsidR="00FF65FC">
        <w:rPr>
          <w:rFonts w:ascii="Arial" w:hAnsi="Arial" w:cs="Arial"/>
          <w:sz w:val="24"/>
          <w:szCs w:val="24"/>
        </w:rPr>
        <w:t xml:space="preserve">iznosilo </w:t>
      </w:r>
      <w:r w:rsidR="00032E1A">
        <w:rPr>
          <w:rFonts w:ascii="Arial" w:hAnsi="Arial" w:cs="Arial"/>
          <w:sz w:val="24"/>
          <w:szCs w:val="24"/>
        </w:rPr>
        <w:t xml:space="preserve">cc </w:t>
      </w:r>
      <w:r w:rsidR="009774E5">
        <w:rPr>
          <w:rFonts w:ascii="Arial" w:hAnsi="Arial" w:cs="Arial"/>
          <w:sz w:val="24"/>
          <w:szCs w:val="24"/>
        </w:rPr>
        <w:t>778.127,58 KM</w:t>
      </w:r>
      <w:r w:rsidR="00032E1A">
        <w:rPr>
          <w:rFonts w:ascii="Arial" w:hAnsi="Arial" w:cs="Arial"/>
          <w:sz w:val="24"/>
          <w:szCs w:val="24"/>
        </w:rPr>
        <w:t xml:space="preserve"> KM</w:t>
      </w:r>
      <w:r w:rsidRPr="003024B8">
        <w:rPr>
          <w:rFonts w:ascii="Arial" w:hAnsi="Arial" w:cs="Arial"/>
          <w:sz w:val="24"/>
          <w:szCs w:val="24"/>
        </w:rPr>
        <w:t>.</w:t>
      </w: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3"/>
      <w:bookmarkEnd w:id="24"/>
    </w:p>
    <w:p w:rsidR="008D426C" w:rsidRPr="008D426C" w:rsidRDefault="008D426C" w:rsidP="008D426C">
      <w:pPr>
        <w:rPr>
          <w:lang w:val="hr-HR" w:eastAsia="hr-HR"/>
        </w:rPr>
      </w:pPr>
    </w:p>
    <w:p w:rsidR="00CF1E63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Pr="00E90956">
        <w:rPr>
          <w:rFonts w:ascii="Arial" w:hAnsi="Arial" w:cs="Arial"/>
          <w:b/>
          <w:sz w:val="24"/>
          <w:szCs w:val="24"/>
        </w:rPr>
        <w:t>Realizacija Presu</w:t>
      </w:r>
      <w:r w:rsidR="00472F37" w:rsidRPr="00E90956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AC0543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nisu u saglasnosti sa Ustavom Federacije Bosne i Hecregovine. </w:t>
      </w:r>
    </w:p>
    <w:p w:rsidR="00354D42" w:rsidRPr="00481219" w:rsidRDefault="00354D4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167D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25" w:name="_Toc426100143"/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582591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036702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25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</w:t>
      </w:r>
      <w:r w:rsidR="00937A7D">
        <w:rPr>
          <w:rStyle w:val="Heading1Char"/>
          <w:rFonts w:ascii="Arial" w:hAnsi="Arial" w:cs="Arial"/>
          <w:color w:val="000000" w:themeColor="text1"/>
          <w:sz w:val="24"/>
          <w:szCs w:val="24"/>
        </w:rPr>
        <w:t>uda pojedinačno</w:t>
      </w:r>
    </w:p>
    <w:p w:rsidR="008D426C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:rsidR="00036702" w:rsidRPr="00982C90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U-7/12 od 20.11.2012. godine, koja je objavljena “Službenim novinama Federacije BiH”, broj: 4/13 , utvrđeno je da član 9. Zakona o provođenju kontrole zakonitosti korištenja prava iz oblasti branilačko-invalidske zaštite (“Službene novine Federacije BiH”, broj: 82/09), u dijelu koji glasi: ”ili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ab/>
      </w:r>
      <w:r w:rsidR="00EE21A6" w:rsidRPr="00982C90">
        <w:rPr>
          <w:rFonts w:ascii="Arial" w:hAnsi="Arial" w:cs="Arial"/>
          <w:szCs w:val="24"/>
        </w:rPr>
        <w:t>Status realizacije Presude</w:t>
      </w:r>
      <w:r w:rsidR="00704391" w:rsidRPr="00982C90">
        <w:rPr>
          <w:rFonts w:ascii="Arial" w:hAnsi="Arial" w:cs="Arial"/>
          <w:szCs w:val="24"/>
        </w:rPr>
        <w:t>:</w:t>
      </w:r>
      <w:r w:rsidR="00C13008">
        <w:rPr>
          <w:rFonts w:ascii="Arial" w:hAnsi="Arial" w:cs="Arial"/>
          <w:szCs w:val="24"/>
        </w:rPr>
        <w:t xml:space="preserve">Nije realizirana. </w:t>
      </w:r>
    </w:p>
    <w:p w:rsidR="00FA107C" w:rsidRPr="00982C90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982C90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Presudom Ustavnog suda Federacije Bosne i Hercegovine, broj: U-17/12 od 07.02.2013. godine, koja je objavljena u “Službenim novinama Federacije BiH”, broj: 24/13 ,   utvrđeno je da član 5. stav 2. u dijelu koji glasi: “Pisanim dokaznim sredstvom u smislu ovog zakona ne smatra se izjava stranke i drugih lica bez obzira na to u kojem je obliku saopštena” i član 7. st. 2. i 3. u dijelu koji glasi: ” i samo riješiti upravnu stvar bez pozivanja korisnika prava po bilo kojem osnovu” Zakona o provođenju kontrole zakonitosti korištenja prava iz oblasti branilačko-invalidske zaštite (“Službene novine Federacije BiH”, broj:82/09), nisu u saglasnosti s članom 6. stav 1. Evropske konvencije o zaštiti ljudskih prava i osnovnih sloboda.</w:t>
      </w:r>
    </w:p>
    <w:p w:rsidR="00937A7D" w:rsidRPr="00982C90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982C90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2337D6" w:rsidRPr="00982C90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lastRenderedPageBreak/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982C90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Presudom Ustavnog suda Federacije BiH, broj: U-11/12 od 07.11.2012. godine,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sa Ustavom Federacije Bosne i Hercegovine.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982C90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982C90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982C90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EB3263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291259774"/>
      <w:bookmarkStart w:id="27" w:name="_Toc308522071"/>
      <w:r w:rsidRPr="00170853">
        <w:rPr>
          <w:rFonts w:ascii="Arial" w:hAnsi="Arial" w:cs="Arial"/>
          <w:color w:val="auto"/>
          <w:sz w:val="24"/>
          <w:szCs w:val="24"/>
        </w:rPr>
        <w:t>2.</w:t>
      </w:r>
      <w:r w:rsidR="00E35F56" w:rsidRPr="00170853">
        <w:rPr>
          <w:rFonts w:ascii="Arial" w:hAnsi="Arial" w:cs="Arial"/>
          <w:color w:val="auto"/>
          <w:sz w:val="24"/>
          <w:szCs w:val="24"/>
        </w:rPr>
        <w:t>5</w:t>
      </w:r>
      <w:r w:rsidRPr="00170853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6"/>
      <w:bookmarkEnd w:id="27"/>
    </w:p>
    <w:p w:rsidR="00937A7D" w:rsidRPr="00937A7D" w:rsidRDefault="00937A7D" w:rsidP="00937A7D">
      <w:pPr>
        <w:rPr>
          <w:lang w:val="hr-HR" w:eastAsia="hr-HR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_Toc291259775"/>
      <w:bookmarkStart w:id="29" w:name="_Toc308522072"/>
      <w:r w:rsidRPr="00032E1A">
        <w:rPr>
          <w:rFonts w:ascii="Arial" w:hAnsi="Arial" w:cs="Arial"/>
          <w:sz w:val="24"/>
          <w:szCs w:val="24"/>
        </w:rPr>
        <w:t xml:space="preserve">Revizorski tim za koordinaciju imenovan je Odlukom predsjednika Federacije BiH br: </w:t>
      </w:r>
      <w:r w:rsidR="00FA107C" w:rsidRPr="00032E1A">
        <w:rPr>
          <w:rFonts w:ascii="Arial" w:hAnsi="Arial" w:cs="Arial"/>
          <w:sz w:val="24"/>
          <w:szCs w:val="24"/>
        </w:rPr>
        <w:t xml:space="preserve">01-02-490/15 od 29.05.2015. godine, broj: 01-02-490/15 od 29.05.2015. godine i broj: 01-02-490-05/15 od 19.5.2016. godine u sastavu: Pavo Šljivić, Halil Ćućurović, Lazar Martinović, Isad Smajlović, Miroslav Škoro, Esad Crnica, Marija Ćelam i Elvir Međuseljac. 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>Revizorski tim za koordinaciju u okviru svojih nadležnosti poduzima sljedeće aktivnosti: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4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032E1A" w:rsidRDefault="00F428BC" w:rsidP="00F428BC">
      <w:pPr>
        <w:pStyle w:val="Default"/>
        <w:numPr>
          <w:ilvl w:val="0"/>
          <w:numId w:val="45"/>
        </w:numPr>
        <w:ind w:left="709" w:hanging="289"/>
        <w:jc w:val="both"/>
        <w:rPr>
          <w:color w:val="auto"/>
        </w:rPr>
      </w:pPr>
      <w:r w:rsidRPr="00032E1A">
        <w:rPr>
          <w:color w:val="auto"/>
        </w:rPr>
        <w:t xml:space="preserve">vrši kontrolu rada i provjeru provođenja odobrenog plana rada revizorskih timova za kontrolu; 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lastRenderedPageBreak/>
        <w:t>predlaže Federalnom ministru revizorski tim za kontrolu za rad na predmetima koji su presudama sudova vraćeni na ponovno rješavanje;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Revizorski tim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937A7D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Revizorski tim za koordinaciju je kontinuirano postupao po zahtjevima za kontrolu  predmeta koji su dostavljeni ovom timu na odlučivanje i izvršavao aktivnosti po zahtjevu Federalnog ministra za pitanja boraca i invalida </w:t>
      </w:r>
      <w:r w:rsidR="00582591" w:rsidRPr="00032E1A">
        <w:rPr>
          <w:rFonts w:ascii="Arial" w:hAnsi="Arial" w:cs="Arial"/>
          <w:sz w:val="24"/>
          <w:szCs w:val="24"/>
        </w:rPr>
        <w:t>odbrambeno oslobodilačkog rata.</w:t>
      </w: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9758" w:type="dxa"/>
        <w:tblLook w:val="04A0" w:firstRow="1" w:lastRow="0" w:firstColumn="1" w:lastColumn="0" w:noHBand="0" w:noVBand="1"/>
      </w:tblPr>
      <w:tblGrid>
        <w:gridCol w:w="339"/>
        <w:gridCol w:w="7169"/>
        <w:gridCol w:w="2250"/>
      </w:tblGrid>
      <w:tr w:rsidR="00A03572" w:rsidRPr="00032E1A" w:rsidTr="009774E5">
        <w:trPr>
          <w:trHeight w:val="578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032E1A" w:rsidRDefault="00A03572" w:rsidP="0097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REALIZOVANE AKTIVNOSTI RT ZA KOORDINACIJU ZA PERIOD </w:t>
            </w:r>
            <w:r w:rsidR="009774E5">
              <w:rPr>
                <w:rFonts w:ascii="Arial" w:eastAsia="Times New Roman" w:hAnsi="Arial" w:cs="Arial"/>
                <w:color w:val="000000"/>
                <w:lang w:eastAsia="bs-Latn-BA"/>
              </w:rPr>
              <w:t>JANUAR-MART</w:t>
            </w: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201</w:t>
            </w:r>
            <w:r w:rsidR="009774E5">
              <w:rPr>
                <w:rFonts w:ascii="Arial" w:eastAsia="Times New Roman" w:hAnsi="Arial" w:cs="Arial"/>
                <w:color w:val="000000"/>
                <w:lang w:eastAsia="bs-Latn-BA"/>
              </w:rPr>
              <w:t>7</w:t>
            </w: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.GODINE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BROJ</w:t>
            </w:r>
          </w:p>
        </w:tc>
      </w:tr>
      <w:tr w:rsidR="00A03572" w:rsidRPr="00032E1A" w:rsidTr="009774E5">
        <w:trPr>
          <w:trHeight w:val="36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9774E5" w:rsidP="0097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10</w:t>
            </w:r>
          </w:p>
        </w:tc>
      </w:tr>
      <w:tr w:rsidR="00A03572" w:rsidRPr="00032E1A" w:rsidTr="009774E5">
        <w:trPr>
          <w:trHeight w:val="36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9774E5" w:rsidP="0097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</w:tr>
      <w:tr w:rsidR="00A03572" w:rsidRPr="00032E1A" w:rsidTr="009774E5">
        <w:trPr>
          <w:trHeight w:val="36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032E1A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9774E5" w:rsidP="0097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</w:tr>
      <w:tr w:rsidR="00A03572" w:rsidRPr="00032E1A" w:rsidTr="009774E5">
        <w:trPr>
          <w:trHeight w:val="36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9774E5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ODGOVORI PO ZAHTJEVIMA STRANAKA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9774E5" w:rsidP="00977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12</w:t>
            </w:r>
          </w:p>
        </w:tc>
      </w:tr>
      <w:tr w:rsidR="00A03572" w:rsidRPr="00032E1A" w:rsidTr="009774E5">
        <w:trPr>
          <w:trHeight w:val="36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9774E5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93</w:t>
            </w:r>
          </w:p>
        </w:tc>
      </w:tr>
    </w:tbl>
    <w:p w:rsidR="0076551F" w:rsidRDefault="0076551F" w:rsidP="00354D42">
      <w:pPr>
        <w:rPr>
          <w:lang w:val="hr-HR" w:eastAsia="hr-HR"/>
        </w:rPr>
      </w:pPr>
    </w:p>
    <w:p w:rsidR="009774E5" w:rsidRDefault="009774E5" w:rsidP="00354D42">
      <w:pPr>
        <w:rPr>
          <w:lang w:val="hr-HR" w:eastAsia="hr-HR"/>
        </w:rPr>
      </w:pPr>
    </w:p>
    <w:p w:rsidR="009774E5" w:rsidRDefault="009774E5" w:rsidP="00354D42">
      <w:pPr>
        <w:rPr>
          <w:lang w:val="hr-HR" w:eastAsia="hr-HR"/>
        </w:rPr>
      </w:pPr>
    </w:p>
    <w:p w:rsidR="009774E5" w:rsidRDefault="009774E5" w:rsidP="00354D42">
      <w:pPr>
        <w:rPr>
          <w:lang w:val="hr-HR" w:eastAsia="hr-HR"/>
        </w:rPr>
      </w:pPr>
    </w:p>
    <w:p w:rsidR="009774E5" w:rsidRDefault="009774E5" w:rsidP="00354D42">
      <w:pPr>
        <w:rPr>
          <w:lang w:val="hr-HR" w:eastAsia="hr-HR"/>
        </w:rPr>
      </w:pPr>
    </w:p>
    <w:p w:rsidR="009774E5" w:rsidRPr="00354D42" w:rsidRDefault="009774E5" w:rsidP="00354D42">
      <w:pPr>
        <w:rPr>
          <w:lang w:val="hr-HR" w:eastAsia="hr-HR"/>
        </w:rPr>
      </w:pPr>
    </w:p>
    <w:p w:rsidR="00F92BAD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8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9"/>
    </w:p>
    <w:p w:rsidR="00354D42" w:rsidRDefault="00354D42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Kabinet ministra ( klasif</w:t>
      </w:r>
      <w:r w:rsidR="009F4D58">
        <w:rPr>
          <w:rFonts w:ascii="Arial" w:hAnsi="Arial" w:cs="Arial"/>
          <w:sz w:val="24"/>
          <w:szCs w:val="24"/>
        </w:rPr>
        <w:t xml:space="preserve">ikacijska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informacioneposlove</w:t>
      </w:r>
      <w:r w:rsidR="00A62A70" w:rsidRPr="00170853">
        <w:rPr>
          <w:rFonts w:ascii="Arial" w:hAnsi="Arial" w:cs="Arial"/>
          <w:sz w:val="24"/>
          <w:szCs w:val="24"/>
        </w:rPr>
        <w:t>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>
        <w:rPr>
          <w:rFonts w:ascii="Arial" w:hAnsi="Arial" w:cs="Arial"/>
          <w:sz w:val="24"/>
          <w:szCs w:val="24"/>
        </w:rPr>
        <w:t xml:space="preserve">. </w:t>
      </w:r>
      <w:r w:rsidR="00A62A70" w:rsidRPr="00170853">
        <w:rPr>
          <w:rFonts w:ascii="Arial" w:hAnsi="Arial" w:cs="Arial"/>
          <w:sz w:val="24"/>
          <w:szCs w:val="24"/>
        </w:rPr>
        <w:t>Imajući u vidu da prema postojećoj organizaciji Ministarstva i važećem Pravilniku o unutrašnjoj organizaciji i sistematizaciji ne bi mogli ispuniti zadatke u okviru provođenja Zakona o reviziji, ministar je bio primoran formirati privremena radna tijela i shodno ranijim saglasnostima Vlade Federacije BiH angažovati određen broj lica po ugovoru o djelu</w:t>
      </w:r>
      <w:r w:rsidR="005D0F2A">
        <w:rPr>
          <w:rFonts w:ascii="Arial" w:hAnsi="Arial" w:cs="Arial"/>
          <w:sz w:val="24"/>
          <w:szCs w:val="24"/>
        </w:rPr>
        <w:t xml:space="preserve"> i volontiranju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pomenutog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</w:t>
      </w:r>
      <w:r w:rsidR="009F4D58">
        <w:rPr>
          <w:rFonts w:ascii="Arial" w:hAnsi="Arial" w:cs="Arial"/>
          <w:sz w:val="24"/>
          <w:szCs w:val="24"/>
        </w:rPr>
        <w:lastRenderedPageBreak/>
        <w:t xml:space="preserve">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345EC8" w:rsidRDefault="00345EC8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1E3E89" w:rsidRDefault="001E3E89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6551F" w:rsidRDefault="007655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>u prvog kvartala</w:t>
      </w:r>
      <w:r w:rsidR="00936576" w:rsidRPr="00BB684F">
        <w:rPr>
          <w:rFonts w:ascii="Arial" w:hAnsi="Arial" w:cs="Arial"/>
          <w:sz w:val="24"/>
          <w:szCs w:val="24"/>
        </w:rPr>
        <w:t xml:space="preserve"> </w:t>
      </w:r>
      <w:r w:rsidR="005D47C5" w:rsidRPr="00BB684F">
        <w:rPr>
          <w:rFonts w:ascii="Arial" w:hAnsi="Arial" w:cs="Arial"/>
          <w:sz w:val="24"/>
          <w:szCs w:val="24"/>
        </w:rPr>
        <w:t>201</w:t>
      </w:r>
      <w:r w:rsidR="00BB684F" w:rsidRPr="00BB684F">
        <w:rPr>
          <w:rFonts w:ascii="Arial" w:hAnsi="Arial" w:cs="Arial"/>
          <w:sz w:val="24"/>
          <w:szCs w:val="24"/>
        </w:rPr>
        <w:t>7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>godine  angažovan je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inistarstva,</w:t>
      </w:r>
      <w:r w:rsidR="00BB684F" w:rsidRPr="00BB684F">
        <w:rPr>
          <w:rFonts w:ascii="Arial" w:hAnsi="Arial" w:cs="Arial"/>
          <w:sz w:val="24"/>
          <w:szCs w:val="24"/>
        </w:rPr>
        <w:t xml:space="preserve"> </w:t>
      </w:r>
      <w:r w:rsidR="000B4F3C" w:rsidRPr="00BB684F">
        <w:rPr>
          <w:rFonts w:ascii="Arial" w:hAnsi="Arial" w:cs="Arial"/>
          <w:sz w:val="24"/>
          <w:szCs w:val="24"/>
        </w:rPr>
        <w:t>a jedan broj na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Pr="00032E1A" w:rsidRDefault="00E37241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Imajući u vidu preuzete obaveze </w:t>
      </w:r>
      <w:r w:rsidR="00F442E1">
        <w:rPr>
          <w:rFonts w:ascii="Arial" w:hAnsi="Arial" w:cs="Arial"/>
          <w:sz w:val="24"/>
          <w:szCs w:val="24"/>
        </w:rPr>
        <w:t xml:space="preserve">sadržane u </w:t>
      </w:r>
      <w:r>
        <w:rPr>
          <w:rFonts w:ascii="Arial" w:hAnsi="Arial" w:cs="Arial"/>
          <w:sz w:val="24"/>
          <w:szCs w:val="24"/>
        </w:rPr>
        <w:t>Pism</w:t>
      </w:r>
      <w:r w:rsidR="00F442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namjere dostavljenog MMF-u u pogledu rokova </w:t>
      </w:r>
      <w:r w:rsidR="00F442E1">
        <w:rPr>
          <w:rFonts w:ascii="Arial" w:hAnsi="Arial" w:cs="Arial"/>
          <w:sz w:val="24"/>
          <w:szCs w:val="24"/>
        </w:rPr>
        <w:t xml:space="preserve">u kojim se planira okončanje prve i druge faze revizije i činjenice da će u narednom periodu-2017. godini težište aktivnosti biti na </w:t>
      </w:r>
      <w:r w:rsidR="005D0F2A">
        <w:rPr>
          <w:rFonts w:ascii="Arial" w:hAnsi="Arial" w:cs="Arial"/>
          <w:sz w:val="24"/>
          <w:szCs w:val="24"/>
        </w:rPr>
        <w:t xml:space="preserve">okončanju prve faze revizije u svim predmetima lične, porodične invalidnine, korisnicima prava na mjesečni novčani dodatak i povoljnije penzije uporedo sa nastavkom </w:t>
      </w:r>
      <w:r w:rsidR="00F442E1">
        <w:rPr>
          <w:rFonts w:ascii="Arial" w:hAnsi="Arial" w:cs="Arial"/>
          <w:sz w:val="24"/>
          <w:szCs w:val="24"/>
        </w:rPr>
        <w:t>drug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faz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revizije, odnosno da neće doći do smanjenja obima poslova,  neophodno je da se i dalje u 2017. godini osigura angažman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Pr="00032E1A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76551F" w:rsidRDefault="0076551F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Saradnja sa  Institutom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>5. godine</w:t>
      </w:r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lastRenderedPageBreak/>
        <w:t xml:space="preserve">U saradnji sa predstavnicima osam osnovnih organizacija/ udruženja/udruga boračke populacije i Instituta za medicinsko 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 xml:space="preserve">esene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utvrđivanja  procenta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>Suština druge izmjene je da će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1E3E89" w:rsidRDefault="001E3E89" w:rsidP="00E70474">
      <w:pPr>
        <w:rPr>
          <w:rFonts w:ascii="Arial" w:hAnsi="Arial" w:cs="Arial"/>
          <w:b/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 I kvartal 2017. godine.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7901EA">
        <w:rPr>
          <w:rFonts w:ascii="Arial" w:hAnsi="Arial" w:cs="Arial"/>
          <w:sz w:val="24"/>
          <w:szCs w:val="24"/>
        </w:rPr>
        <w:t>6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godinu</w:t>
      </w:r>
      <w:r w:rsidR="007901EA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7901EA">
        <w:rPr>
          <w:rFonts w:ascii="Arial" w:hAnsi="Arial" w:cs="Arial"/>
          <w:sz w:val="24"/>
          <w:szCs w:val="24"/>
        </w:rPr>
        <w:t>7</w:t>
      </w:r>
      <w:r w:rsidR="001804AC">
        <w:rPr>
          <w:rFonts w:ascii="Arial" w:hAnsi="Arial" w:cs="Arial"/>
          <w:sz w:val="24"/>
          <w:szCs w:val="24"/>
        </w:rPr>
        <w:t>. godinu</w:t>
      </w:r>
    </w:p>
    <w:p w:rsidR="00051640" w:rsidRPr="007B4473" w:rsidRDefault="005544DB" w:rsidP="00824C26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 w:rsidR="007901EA">
        <w:rPr>
          <w:rFonts w:ascii="Arial" w:hAnsi="Arial" w:cs="Arial"/>
          <w:szCs w:val="24"/>
        </w:rPr>
        <w:t xml:space="preserve">prvom </w:t>
      </w:r>
      <w:r>
        <w:rPr>
          <w:rFonts w:ascii="Arial" w:hAnsi="Arial" w:cs="Arial"/>
          <w:szCs w:val="24"/>
        </w:rPr>
        <w:t xml:space="preserve">kvartalu </w:t>
      </w:r>
      <w:r w:rsidR="004D6625" w:rsidRPr="007B4473">
        <w:rPr>
          <w:rFonts w:ascii="Arial" w:hAnsi="Arial" w:cs="Arial"/>
          <w:szCs w:val="24"/>
        </w:rPr>
        <w:t>201</w:t>
      </w:r>
      <w:r w:rsidR="007901EA">
        <w:rPr>
          <w:rFonts w:ascii="Arial" w:hAnsi="Arial" w:cs="Arial"/>
          <w:szCs w:val="24"/>
        </w:rPr>
        <w:t>7</w:t>
      </w:r>
      <w:r w:rsidR="004D6625" w:rsidRPr="007B4473">
        <w:rPr>
          <w:rFonts w:ascii="Arial" w:hAnsi="Arial" w:cs="Arial"/>
          <w:szCs w:val="24"/>
        </w:rPr>
        <w:t xml:space="preserve">. </w:t>
      </w:r>
      <w:r w:rsidR="007901EA">
        <w:rPr>
          <w:rFonts w:ascii="Arial" w:hAnsi="Arial" w:cs="Arial"/>
          <w:szCs w:val="24"/>
        </w:rPr>
        <w:t>g</w:t>
      </w:r>
      <w:r w:rsidR="004D6625" w:rsidRPr="007B4473">
        <w:rPr>
          <w:rFonts w:ascii="Arial" w:hAnsi="Arial" w:cs="Arial"/>
          <w:szCs w:val="24"/>
        </w:rPr>
        <w:t>odin</w:t>
      </w:r>
      <w:r w:rsidR="00B36A37">
        <w:rPr>
          <w:rFonts w:ascii="Arial" w:hAnsi="Arial" w:cs="Arial"/>
          <w:szCs w:val="24"/>
        </w:rPr>
        <w:t>e</w:t>
      </w:r>
      <w:r w:rsidR="007901EA"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kontrola zakonitosti </w:t>
      </w:r>
      <w:r w:rsidR="00032E1A">
        <w:rPr>
          <w:rFonts w:ascii="Arial" w:hAnsi="Arial" w:cs="Arial"/>
          <w:szCs w:val="24"/>
        </w:rPr>
        <w:t xml:space="preserve">(I faza revizije) </w:t>
      </w:r>
      <w:r>
        <w:rPr>
          <w:rFonts w:ascii="Arial" w:hAnsi="Arial" w:cs="Arial"/>
          <w:szCs w:val="24"/>
        </w:rPr>
        <w:t>okončan</w:t>
      </w:r>
      <w:r w:rsidR="00B36A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je </w:t>
      </w:r>
      <w:r w:rsidR="00B36A37">
        <w:rPr>
          <w:rFonts w:ascii="Arial" w:hAnsi="Arial" w:cs="Arial"/>
          <w:szCs w:val="24"/>
        </w:rPr>
        <w:t xml:space="preserve">u </w:t>
      </w:r>
      <w:r w:rsidR="007901EA">
        <w:rPr>
          <w:rFonts w:ascii="Arial" w:hAnsi="Arial" w:cs="Arial"/>
          <w:szCs w:val="24"/>
        </w:rPr>
        <w:t xml:space="preserve">6503 </w:t>
      </w:r>
      <w:r w:rsidR="004D6625" w:rsidRPr="007B4473">
        <w:rPr>
          <w:rFonts w:ascii="Arial" w:hAnsi="Arial" w:cs="Arial"/>
          <w:szCs w:val="24"/>
        </w:rPr>
        <w:t>od planiranih</w:t>
      </w:r>
      <w:r>
        <w:rPr>
          <w:rFonts w:ascii="Arial" w:hAnsi="Arial" w:cs="Arial"/>
          <w:szCs w:val="24"/>
        </w:rPr>
        <w:t xml:space="preserve"> </w:t>
      </w:r>
      <w:r w:rsidR="007901EA">
        <w:rPr>
          <w:rFonts w:ascii="Arial" w:hAnsi="Arial" w:cs="Arial"/>
          <w:szCs w:val="24"/>
        </w:rPr>
        <w:t>9000</w:t>
      </w:r>
      <w:r>
        <w:rPr>
          <w:rFonts w:ascii="Arial" w:hAnsi="Arial" w:cs="Arial"/>
          <w:szCs w:val="24"/>
        </w:rPr>
        <w:t xml:space="preserve">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7901EA">
        <w:rPr>
          <w:rFonts w:ascii="Arial" w:hAnsi="Arial" w:cs="Arial"/>
          <w:szCs w:val="24"/>
        </w:rPr>
        <w:t>2497</w:t>
      </w:r>
      <w:r w:rsidR="001D108F">
        <w:rPr>
          <w:rFonts w:ascii="Arial" w:hAnsi="Arial" w:cs="Arial"/>
          <w:szCs w:val="24"/>
        </w:rPr>
        <w:t xml:space="preserve"> predmeta </w:t>
      </w:r>
      <w:r w:rsidR="007901EA">
        <w:rPr>
          <w:rFonts w:ascii="Arial" w:hAnsi="Arial" w:cs="Arial"/>
          <w:szCs w:val="24"/>
        </w:rPr>
        <w:t xml:space="preserve">manje </w:t>
      </w:r>
      <w:r w:rsidR="004505B4">
        <w:rPr>
          <w:rFonts w:ascii="Arial" w:hAnsi="Arial" w:cs="Arial"/>
          <w:szCs w:val="24"/>
        </w:rPr>
        <w:t>od dinamičkim planom</w:t>
      </w:r>
      <w:r w:rsidR="0066035F">
        <w:rPr>
          <w:rFonts w:ascii="Arial" w:hAnsi="Arial" w:cs="Arial"/>
          <w:szCs w:val="24"/>
        </w:rPr>
        <w:t xml:space="preserve"> planiranog broja</w:t>
      </w:r>
      <w:r w:rsidR="007901EA">
        <w:rPr>
          <w:rFonts w:ascii="Arial" w:hAnsi="Arial" w:cs="Arial"/>
          <w:szCs w:val="24"/>
        </w:rPr>
        <w:t>, uz napomenu da se planirani broj predmeta koje je trebalo okončati odnosi na rad 10 Timova, a u navedenom periodu radilo je 9 Timova</w:t>
      </w:r>
      <w:r w:rsidR="004505B4">
        <w:rPr>
          <w:rFonts w:ascii="Arial" w:hAnsi="Arial" w:cs="Arial"/>
          <w:szCs w:val="24"/>
        </w:rPr>
        <w:t>.</w:t>
      </w:r>
    </w:p>
    <w:p w:rsidR="004738C8" w:rsidRPr="006A7433" w:rsidRDefault="001D108F" w:rsidP="004738C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6A7433">
        <w:rPr>
          <w:rFonts w:ascii="Arial" w:hAnsi="Arial" w:cs="Arial"/>
          <w:szCs w:val="24"/>
        </w:rPr>
        <w:t xml:space="preserve">u </w:t>
      </w:r>
      <w:r w:rsidR="004D6625" w:rsidRPr="006A7433">
        <w:rPr>
          <w:rFonts w:ascii="Arial" w:hAnsi="Arial" w:cs="Arial"/>
          <w:szCs w:val="24"/>
        </w:rPr>
        <w:t>II faz</w:t>
      </w:r>
      <w:r w:rsidRPr="006A7433">
        <w:rPr>
          <w:rFonts w:ascii="Arial" w:hAnsi="Arial" w:cs="Arial"/>
          <w:szCs w:val="24"/>
        </w:rPr>
        <w:t>i</w:t>
      </w:r>
      <w:r w:rsidR="004D6625" w:rsidRPr="006A7433">
        <w:rPr>
          <w:rFonts w:ascii="Arial" w:hAnsi="Arial" w:cs="Arial"/>
          <w:szCs w:val="24"/>
        </w:rPr>
        <w:t xml:space="preserve"> koja podrazumjeva </w:t>
      </w:r>
      <w:r w:rsidRPr="006A7433">
        <w:rPr>
          <w:rFonts w:ascii="Arial" w:hAnsi="Arial" w:cs="Arial"/>
          <w:szCs w:val="24"/>
        </w:rPr>
        <w:t xml:space="preserve">upućivanje na Institut i </w:t>
      </w:r>
      <w:r w:rsidR="004D6625" w:rsidRPr="006A7433">
        <w:rPr>
          <w:rFonts w:ascii="Arial" w:hAnsi="Arial" w:cs="Arial"/>
          <w:szCs w:val="24"/>
        </w:rPr>
        <w:t xml:space="preserve">ocjenu na Institutu za medicinsko vještačenje </w:t>
      </w:r>
      <w:r w:rsidR="00BD0646" w:rsidRPr="006A7433">
        <w:rPr>
          <w:rFonts w:ascii="Arial" w:hAnsi="Arial" w:cs="Arial"/>
          <w:szCs w:val="24"/>
        </w:rPr>
        <w:t>u</w:t>
      </w:r>
      <w:r w:rsidR="00A46036" w:rsidRPr="006A7433">
        <w:rPr>
          <w:rFonts w:ascii="Arial" w:hAnsi="Arial" w:cs="Arial"/>
          <w:szCs w:val="24"/>
        </w:rPr>
        <w:t xml:space="preserve"> prvom </w:t>
      </w:r>
      <w:r w:rsidRPr="006A7433">
        <w:rPr>
          <w:rFonts w:ascii="Arial" w:hAnsi="Arial" w:cs="Arial"/>
          <w:szCs w:val="24"/>
        </w:rPr>
        <w:t xml:space="preserve">kvartalu </w:t>
      </w:r>
      <w:r w:rsidR="001958C6" w:rsidRPr="006A7433">
        <w:rPr>
          <w:rFonts w:ascii="Arial" w:hAnsi="Arial" w:cs="Arial"/>
          <w:szCs w:val="24"/>
        </w:rPr>
        <w:t>201</w:t>
      </w:r>
      <w:r w:rsidR="00A46036" w:rsidRPr="006A7433">
        <w:rPr>
          <w:rFonts w:ascii="Arial" w:hAnsi="Arial" w:cs="Arial"/>
          <w:szCs w:val="24"/>
        </w:rPr>
        <w:t>7</w:t>
      </w:r>
      <w:r w:rsidR="001958C6" w:rsidRPr="006A7433">
        <w:rPr>
          <w:rFonts w:ascii="Arial" w:hAnsi="Arial" w:cs="Arial"/>
          <w:szCs w:val="24"/>
        </w:rPr>
        <w:t>.</w:t>
      </w:r>
      <w:r w:rsidR="004E4806" w:rsidRPr="006A7433">
        <w:rPr>
          <w:rFonts w:ascii="Arial" w:hAnsi="Arial" w:cs="Arial"/>
          <w:szCs w:val="24"/>
        </w:rPr>
        <w:t xml:space="preserve"> godin</w:t>
      </w:r>
      <w:r w:rsidRPr="006A7433">
        <w:rPr>
          <w:rFonts w:ascii="Arial" w:hAnsi="Arial" w:cs="Arial"/>
          <w:szCs w:val="24"/>
        </w:rPr>
        <w:t xml:space="preserve">e </w:t>
      </w:r>
      <w:r w:rsidR="00B36A37" w:rsidRPr="006A7433">
        <w:rPr>
          <w:rFonts w:ascii="Arial" w:hAnsi="Arial" w:cs="Arial"/>
          <w:szCs w:val="24"/>
        </w:rPr>
        <w:t>I</w:t>
      </w:r>
      <w:r w:rsidRPr="006A7433">
        <w:rPr>
          <w:rFonts w:ascii="Arial" w:hAnsi="Arial" w:cs="Arial"/>
          <w:szCs w:val="24"/>
        </w:rPr>
        <w:t xml:space="preserve">nstitutu je dostavljeno </w:t>
      </w:r>
      <w:r w:rsidR="006A7433" w:rsidRPr="006A7433">
        <w:rPr>
          <w:rFonts w:ascii="Arial" w:hAnsi="Arial" w:cs="Arial"/>
          <w:szCs w:val="24"/>
        </w:rPr>
        <w:t>1521</w:t>
      </w:r>
      <w:r w:rsidRPr="006A7433">
        <w:rPr>
          <w:rFonts w:ascii="Arial" w:hAnsi="Arial" w:cs="Arial"/>
          <w:szCs w:val="24"/>
        </w:rPr>
        <w:t xml:space="preserve"> predmet lične invalidnine, od planiranih </w:t>
      </w:r>
      <w:r w:rsidR="006A7433" w:rsidRPr="006A7433">
        <w:rPr>
          <w:rFonts w:ascii="Arial" w:hAnsi="Arial" w:cs="Arial"/>
          <w:szCs w:val="24"/>
        </w:rPr>
        <w:t>3000</w:t>
      </w:r>
      <w:r w:rsidRPr="006A7433">
        <w:rPr>
          <w:rFonts w:ascii="Arial" w:hAnsi="Arial" w:cs="Arial"/>
          <w:szCs w:val="24"/>
        </w:rPr>
        <w:t xml:space="preserve">, </w:t>
      </w:r>
      <w:r w:rsidR="00B36A37" w:rsidRPr="006A7433">
        <w:rPr>
          <w:rFonts w:ascii="Arial" w:hAnsi="Arial" w:cs="Arial"/>
          <w:szCs w:val="24"/>
        </w:rPr>
        <w:t xml:space="preserve">odnosno </w:t>
      </w:r>
      <w:r w:rsidR="006A7433" w:rsidRPr="006A7433">
        <w:rPr>
          <w:rFonts w:ascii="Arial" w:hAnsi="Arial" w:cs="Arial"/>
          <w:szCs w:val="24"/>
        </w:rPr>
        <w:t>1479</w:t>
      </w:r>
      <w:r w:rsidR="00B36A37" w:rsidRPr="006A7433">
        <w:rPr>
          <w:rFonts w:ascii="Arial" w:hAnsi="Arial" w:cs="Arial"/>
          <w:szCs w:val="24"/>
        </w:rPr>
        <w:t xml:space="preserve"> predmeta manje od planiranog broja, </w:t>
      </w:r>
      <w:r w:rsidR="00E46118" w:rsidRPr="006A7433">
        <w:rPr>
          <w:rFonts w:ascii="Arial" w:hAnsi="Arial" w:cs="Arial"/>
          <w:szCs w:val="24"/>
        </w:rPr>
        <w:t xml:space="preserve">dok su ljekarske komisije Instituta u </w:t>
      </w:r>
      <w:r w:rsidR="006A7433" w:rsidRPr="006A7433">
        <w:rPr>
          <w:rFonts w:ascii="Arial" w:hAnsi="Arial" w:cs="Arial"/>
          <w:szCs w:val="24"/>
        </w:rPr>
        <w:t>1530</w:t>
      </w:r>
      <w:r w:rsidR="00E46118" w:rsidRPr="006A7433">
        <w:rPr>
          <w:rFonts w:ascii="Arial" w:hAnsi="Arial" w:cs="Arial"/>
          <w:szCs w:val="24"/>
        </w:rPr>
        <w:t xml:space="preserve"> predmeta dale nalaz i mišljenje</w:t>
      </w:r>
      <w:r w:rsidR="00FF7F7A" w:rsidRPr="006A7433">
        <w:rPr>
          <w:rFonts w:ascii="Arial" w:hAnsi="Arial" w:cs="Arial"/>
          <w:szCs w:val="24"/>
        </w:rPr>
        <w:t xml:space="preserve"> od planiranih </w:t>
      </w:r>
      <w:r w:rsidR="006A7433" w:rsidRPr="006A7433">
        <w:rPr>
          <w:rFonts w:ascii="Arial" w:hAnsi="Arial" w:cs="Arial"/>
          <w:szCs w:val="24"/>
        </w:rPr>
        <w:t>3000</w:t>
      </w:r>
      <w:r w:rsidR="00FF7F7A" w:rsidRPr="006A7433">
        <w:rPr>
          <w:rFonts w:ascii="Arial" w:hAnsi="Arial" w:cs="Arial"/>
          <w:szCs w:val="24"/>
        </w:rPr>
        <w:t xml:space="preserve"> predmeta</w:t>
      </w:r>
      <w:r w:rsidR="00B36A37" w:rsidRPr="006A7433">
        <w:rPr>
          <w:rFonts w:ascii="Arial" w:hAnsi="Arial" w:cs="Arial"/>
          <w:szCs w:val="24"/>
        </w:rPr>
        <w:t xml:space="preserve">, odnosno </w:t>
      </w:r>
      <w:r w:rsidR="006A7433" w:rsidRPr="006A7433">
        <w:rPr>
          <w:rFonts w:ascii="Arial" w:hAnsi="Arial" w:cs="Arial"/>
          <w:szCs w:val="24"/>
        </w:rPr>
        <w:t>1470</w:t>
      </w:r>
      <w:r w:rsidR="00B36A37" w:rsidRPr="006A7433">
        <w:rPr>
          <w:rFonts w:ascii="Arial" w:hAnsi="Arial" w:cs="Arial"/>
          <w:szCs w:val="24"/>
        </w:rPr>
        <w:t xml:space="preserve"> predmet</w:t>
      </w:r>
      <w:r w:rsidR="006A7433" w:rsidRPr="006A7433">
        <w:rPr>
          <w:rFonts w:ascii="Arial" w:hAnsi="Arial" w:cs="Arial"/>
          <w:szCs w:val="24"/>
        </w:rPr>
        <w:t>a</w:t>
      </w:r>
      <w:r w:rsidR="00B36A37" w:rsidRPr="006A7433">
        <w:rPr>
          <w:rFonts w:ascii="Arial" w:hAnsi="Arial" w:cs="Arial"/>
          <w:szCs w:val="24"/>
        </w:rPr>
        <w:t xml:space="preserve"> manje od planiranog broja</w:t>
      </w:r>
      <w:r w:rsidR="00FF7F7A" w:rsidRPr="006A7433">
        <w:rPr>
          <w:rFonts w:ascii="Arial" w:hAnsi="Arial" w:cs="Arial"/>
          <w:szCs w:val="24"/>
        </w:rPr>
        <w:t xml:space="preserve">. </w:t>
      </w:r>
    </w:p>
    <w:p w:rsidR="00E160C8" w:rsidRDefault="00FF7F7A" w:rsidP="00AD3AB5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3D4ADE">
        <w:rPr>
          <w:rFonts w:ascii="Arial" w:hAnsi="Arial" w:cs="Arial"/>
          <w:szCs w:val="24"/>
        </w:rPr>
        <w:t>prvom</w:t>
      </w:r>
      <w:r>
        <w:rPr>
          <w:rFonts w:ascii="Arial" w:hAnsi="Arial" w:cs="Arial"/>
          <w:szCs w:val="24"/>
        </w:rPr>
        <w:t xml:space="preserve"> kvartalu 201</w:t>
      </w:r>
      <w:r w:rsidR="003D4ADE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3D4ADE">
        <w:rPr>
          <w:rFonts w:ascii="Arial" w:hAnsi="Arial" w:cs="Arial"/>
          <w:szCs w:val="24"/>
        </w:rPr>
        <w:t>1120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3300</w:t>
      </w:r>
      <w:r w:rsidR="00516207">
        <w:rPr>
          <w:rFonts w:ascii="Arial" w:hAnsi="Arial" w:cs="Arial"/>
          <w:szCs w:val="24"/>
        </w:rPr>
        <w:t xml:space="preserve">, odnosno </w:t>
      </w:r>
      <w:r w:rsidR="003D4ADE">
        <w:rPr>
          <w:rFonts w:ascii="Arial" w:hAnsi="Arial" w:cs="Arial"/>
          <w:szCs w:val="24"/>
        </w:rPr>
        <w:t xml:space="preserve">2180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D3AB5" w:rsidRPr="00E160C8" w:rsidRDefault="00AD3AB5" w:rsidP="00E160C8">
      <w:pPr>
        <w:tabs>
          <w:tab w:val="left" w:pos="9147"/>
        </w:tabs>
        <w:ind w:left="66"/>
        <w:jc w:val="both"/>
        <w:rPr>
          <w:rFonts w:ascii="Arial" w:hAnsi="Arial" w:cs="Arial"/>
          <w:sz w:val="24"/>
          <w:szCs w:val="24"/>
        </w:rPr>
      </w:pPr>
      <w:r w:rsidRPr="00E160C8">
        <w:rPr>
          <w:rFonts w:ascii="Arial" w:hAnsi="Arial" w:cs="Arial"/>
          <w:sz w:val="24"/>
          <w:szCs w:val="24"/>
        </w:rPr>
        <w:t xml:space="preserve">Iz navedenih pokazatelja </w:t>
      </w:r>
      <w:r w:rsidR="00516207" w:rsidRPr="00E160C8">
        <w:rPr>
          <w:rFonts w:ascii="Arial" w:hAnsi="Arial" w:cs="Arial"/>
          <w:sz w:val="24"/>
          <w:szCs w:val="24"/>
        </w:rPr>
        <w:t xml:space="preserve">proizilazi da </w:t>
      </w:r>
      <w:r w:rsidR="00A86708">
        <w:rPr>
          <w:rFonts w:ascii="Arial" w:hAnsi="Arial" w:cs="Arial"/>
          <w:sz w:val="24"/>
          <w:szCs w:val="24"/>
        </w:rPr>
        <w:t xml:space="preserve">je </w:t>
      </w:r>
      <w:r w:rsidRPr="00E160C8">
        <w:rPr>
          <w:rFonts w:ascii="Arial" w:hAnsi="Arial" w:cs="Arial"/>
          <w:sz w:val="24"/>
          <w:szCs w:val="24"/>
        </w:rPr>
        <w:t xml:space="preserve">Dinamički plan </w:t>
      </w:r>
      <w:r w:rsidR="00A86708">
        <w:rPr>
          <w:rFonts w:ascii="Arial" w:hAnsi="Arial" w:cs="Arial"/>
          <w:sz w:val="24"/>
          <w:szCs w:val="24"/>
        </w:rPr>
        <w:t>dijelimično realizovan</w:t>
      </w:r>
      <w:r w:rsidRPr="00E160C8">
        <w:rPr>
          <w:rFonts w:ascii="Arial" w:hAnsi="Arial" w:cs="Arial"/>
          <w:sz w:val="24"/>
          <w:szCs w:val="24"/>
        </w:rPr>
        <w:t>.</w:t>
      </w:r>
    </w:p>
    <w:p w:rsidR="006A39EB" w:rsidRDefault="006A39EB" w:rsidP="0076551F">
      <w:pPr>
        <w:tabs>
          <w:tab w:val="left" w:pos="9147"/>
        </w:tabs>
        <w:spacing w:after="0"/>
        <w:jc w:val="both"/>
        <w:rPr>
          <w:rFonts w:ascii="Arial" w:hAnsi="Arial" w:cs="Arial"/>
          <w:b/>
          <w:szCs w:val="24"/>
        </w:rPr>
      </w:pPr>
    </w:p>
    <w:p w:rsidR="00D30C14" w:rsidRPr="00C940BE" w:rsidRDefault="008052C6" w:rsidP="003D4ADE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  <w:r w:rsidRPr="00997D11">
        <w:rPr>
          <w:rFonts w:ascii="Arial" w:hAnsi="Arial" w:cs="Arial"/>
          <w:b/>
          <w:szCs w:val="24"/>
        </w:rPr>
        <w:t xml:space="preserve"> </w:t>
      </w:r>
      <w:bookmarkStart w:id="30" w:name="_Toc308522086"/>
      <w:bookmarkStart w:id="31" w:name="_Toc291259787"/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</w:p>
    <w:p w:rsidR="00776A28" w:rsidRDefault="00776A28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lastRenderedPageBreak/>
        <w:t>Praćenje dinamike revizije vršit će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vještačenje,</w:t>
      </w:r>
    </w:p>
    <w:p w:rsidR="00D30C14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0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937A7D" w:rsidRPr="00937A7D" w:rsidRDefault="00937A7D" w:rsidP="00797118">
      <w:pPr>
        <w:spacing w:after="0" w:line="240" w:lineRule="auto"/>
        <w:rPr>
          <w:lang w:val="hr-HR" w:eastAsia="hr-HR"/>
        </w:rPr>
      </w:pP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2</w:t>
      </w:r>
      <w:r w:rsidR="003D4ADE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9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3D4ADE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32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1"/>
      <w:bookmarkEnd w:id="32"/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>i u 201</w:t>
      </w:r>
      <w:r w:rsidR="003D4ADE">
        <w:rPr>
          <w:rFonts w:ascii="Arial" w:hAnsi="Arial" w:cs="Arial"/>
          <w:sz w:val="24"/>
          <w:szCs w:val="24"/>
        </w:rPr>
        <w:t>7</w:t>
      </w:r>
      <w:r w:rsidR="00EA324B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 xml:space="preserve">kontrole zakonitosti u predmetima korisnika prava na ličnu, porodičnu invalidninu i prava na mjesečni novčani dodatak,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>sravnjivanju podataka u evidencijama koje se vode u vezi provedbe Zakona o reviziji u cilju dobijanja što tačnijih brojčanih pokazatelja dostignutog nivoa njegove provedbe i izrade planova 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</w:t>
      </w:r>
      <w:r w:rsidR="001E3E89">
        <w:rPr>
          <w:rFonts w:ascii="Arial" w:hAnsi="Arial" w:cs="Arial"/>
          <w:sz w:val="24"/>
          <w:szCs w:val="24"/>
        </w:rPr>
        <w:t xml:space="preserve">bilo da se </w:t>
      </w:r>
      <w:r>
        <w:rPr>
          <w:rFonts w:ascii="Arial" w:hAnsi="Arial" w:cs="Arial"/>
          <w:sz w:val="24"/>
          <w:szCs w:val="24"/>
        </w:rPr>
        <w:t xml:space="preserve">obezbjedi rad </w:t>
      </w:r>
      <w:r w:rsidR="009F195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revizorskih timova</w:t>
      </w:r>
      <w:r w:rsidR="009F195F">
        <w:rPr>
          <w:rFonts w:ascii="Arial" w:hAnsi="Arial" w:cs="Arial"/>
          <w:sz w:val="24"/>
          <w:szCs w:val="24"/>
        </w:rPr>
        <w:t xml:space="preserve"> u </w:t>
      </w:r>
      <w:r w:rsidR="00E160C8">
        <w:rPr>
          <w:rFonts w:ascii="Arial" w:hAnsi="Arial" w:cs="Arial"/>
          <w:sz w:val="24"/>
          <w:szCs w:val="24"/>
        </w:rPr>
        <w:t xml:space="preserve">cilju postizanja zadanih parametara iz </w:t>
      </w:r>
      <w:r w:rsidR="00CB360B">
        <w:rPr>
          <w:rFonts w:ascii="Arial" w:hAnsi="Arial" w:cs="Arial"/>
          <w:sz w:val="24"/>
          <w:szCs w:val="24"/>
        </w:rPr>
        <w:t>usvojeno</w:t>
      </w:r>
      <w:r w:rsidR="00916C23">
        <w:rPr>
          <w:rFonts w:ascii="Arial" w:hAnsi="Arial" w:cs="Arial"/>
          <w:sz w:val="24"/>
          <w:szCs w:val="24"/>
        </w:rPr>
        <w:t>g</w:t>
      </w:r>
      <w:r w:rsidR="009F195F">
        <w:rPr>
          <w:rFonts w:ascii="Arial" w:hAnsi="Arial" w:cs="Arial"/>
          <w:sz w:val="24"/>
          <w:szCs w:val="24"/>
        </w:rPr>
        <w:t xml:space="preserve"> </w:t>
      </w:r>
      <w:r w:rsidR="00916C23">
        <w:rPr>
          <w:rFonts w:ascii="Arial" w:hAnsi="Arial" w:cs="Arial"/>
          <w:sz w:val="24"/>
          <w:szCs w:val="24"/>
        </w:rPr>
        <w:t>D</w:t>
      </w:r>
      <w:r w:rsidR="00644A3E">
        <w:rPr>
          <w:rFonts w:ascii="Arial" w:hAnsi="Arial" w:cs="Arial"/>
          <w:sz w:val="24"/>
          <w:szCs w:val="24"/>
        </w:rPr>
        <w:t>inamičko</w:t>
      </w:r>
      <w:r w:rsidR="00916C23">
        <w:rPr>
          <w:rFonts w:ascii="Arial" w:hAnsi="Arial" w:cs="Arial"/>
          <w:sz w:val="24"/>
          <w:szCs w:val="24"/>
        </w:rPr>
        <w:t xml:space="preserve">g plana. </w:t>
      </w:r>
      <w:r w:rsidR="0066035F">
        <w:rPr>
          <w:rFonts w:ascii="Arial" w:hAnsi="Arial" w:cs="Arial"/>
          <w:sz w:val="24"/>
          <w:szCs w:val="24"/>
        </w:rPr>
        <w:t xml:space="preserve">Međutim kontinuitet rada svih revizorskih timova nije bio osiguran iz razloga odustanka od angažmana pojedinih članova i nemogućnosti pravovremene </w:t>
      </w:r>
      <w:r w:rsidR="007D33ED">
        <w:rPr>
          <w:rFonts w:ascii="Arial" w:hAnsi="Arial" w:cs="Arial"/>
          <w:sz w:val="24"/>
          <w:szCs w:val="24"/>
        </w:rPr>
        <w:t>i</w:t>
      </w:r>
      <w:r w:rsidR="0066035F">
        <w:rPr>
          <w:rFonts w:ascii="Arial" w:hAnsi="Arial" w:cs="Arial"/>
          <w:sz w:val="24"/>
          <w:szCs w:val="24"/>
        </w:rPr>
        <w:t xml:space="preserve"> adekvatne popune istih</w:t>
      </w:r>
      <w:r w:rsidR="007D33ED">
        <w:rPr>
          <w:rFonts w:ascii="Arial" w:hAnsi="Arial" w:cs="Arial"/>
          <w:sz w:val="24"/>
          <w:szCs w:val="24"/>
        </w:rPr>
        <w:t xml:space="preserve"> novim članovima</w:t>
      </w:r>
      <w:r w:rsidR="009F195F">
        <w:rPr>
          <w:rFonts w:ascii="Arial" w:hAnsi="Arial" w:cs="Arial"/>
          <w:sz w:val="24"/>
          <w:szCs w:val="24"/>
        </w:rPr>
        <w:t>, pa je u izvještajnom peridu bio osiguran rad 9 revizorskih timova.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C23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koordinaciju </w:t>
      </w:r>
      <w:r>
        <w:rPr>
          <w:rFonts w:ascii="Arial" w:hAnsi="Arial" w:cs="Arial"/>
          <w:sz w:val="24"/>
          <w:szCs w:val="24"/>
        </w:rPr>
        <w:t xml:space="preserve"> radi</w:t>
      </w:r>
      <w:r w:rsidR="00CE0E8A">
        <w:rPr>
          <w:rFonts w:ascii="Arial" w:hAnsi="Arial" w:cs="Arial"/>
          <w:sz w:val="24"/>
          <w:szCs w:val="24"/>
        </w:rPr>
        <w:t>o</w:t>
      </w:r>
      <w:r w:rsidR="009F195F">
        <w:rPr>
          <w:rFonts w:ascii="Arial" w:hAnsi="Arial" w:cs="Arial"/>
          <w:sz w:val="24"/>
          <w:szCs w:val="24"/>
        </w:rPr>
        <w:t xml:space="preserve"> </w:t>
      </w:r>
      <w:r w:rsidR="00CE0E8A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u punom kapacitetu u skladu sa Zakonom i podzakonskim aktima</w:t>
      </w:r>
      <w:r w:rsidR="00512A1C">
        <w:rPr>
          <w:rFonts w:ascii="Arial" w:hAnsi="Arial" w:cs="Arial"/>
          <w:sz w:val="24"/>
          <w:szCs w:val="24"/>
        </w:rPr>
        <w:t xml:space="preserve">. </w:t>
      </w:r>
    </w:p>
    <w:p w:rsidR="00512A1C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 kvartalu </w:t>
      </w:r>
      <w:r w:rsidR="002A7A84">
        <w:rPr>
          <w:rFonts w:ascii="Arial" w:hAnsi="Arial" w:cs="Arial"/>
          <w:sz w:val="24"/>
          <w:szCs w:val="24"/>
        </w:rPr>
        <w:t xml:space="preserve">2017. godine </w:t>
      </w:r>
      <w:r>
        <w:rPr>
          <w:rFonts w:ascii="Arial" w:hAnsi="Arial" w:cs="Arial"/>
          <w:sz w:val="24"/>
          <w:szCs w:val="24"/>
        </w:rPr>
        <w:t>Ministarstv</w:t>
      </w:r>
      <w:r w:rsidR="002A7A84">
        <w:rPr>
          <w:rFonts w:ascii="Arial" w:hAnsi="Arial" w:cs="Arial"/>
          <w:sz w:val="24"/>
          <w:szCs w:val="24"/>
        </w:rPr>
        <w:t xml:space="preserve">o je </w:t>
      </w:r>
      <w:r w:rsidR="000D6D65">
        <w:rPr>
          <w:rFonts w:ascii="Arial" w:hAnsi="Arial" w:cs="Arial"/>
          <w:sz w:val="24"/>
          <w:szCs w:val="24"/>
        </w:rPr>
        <w:t xml:space="preserve">nastavilo održavati </w:t>
      </w:r>
      <w:r>
        <w:rPr>
          <w:rFonts w:ascii="Arial" w:hAnsi="Arial" w:cs="Arial"/>
          <w:sz w:val="24"/>
          <w:szCs w:val="24"/>
        </w:rPr>
        <w:t xml:space="preserve">kontakte sa </w:t>
      </w:r>
      <w:r w:rsidR="002A7A84">
        <w:rPr>
          <w:rFonts w:ascii="Arial" w:hAnsi="Arial" w:cs="Arial"/>
          <w:sz w:val="24"/>
          <w:szCs w:val="24"/>
        </w:rPr>
        <w:t xml:space="preserve">predstavnicima </w:t>
      </w:r>
      <w:r>
        <w:rPr>
          <w:rFonts w:ascii="Arial" w:hAnsi="Arial" w:cs="Arial"/>
          <w:sz w:val="24"/>
          <w:szCs w:val="24"/>
        </w:rPr>
        <w:t>udruženj</w:t>
      </w:r>
      <w:r w:rsidR="002A7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/udruga koje </w:t>
      </w:r>
      <w:r w:rsidR="002A7A84">
        <w:rPr>
          <w:rFonts w:ascii="Arial" w:hAnsi="Arial" w:cs="Arial"/>
          <w:sz w:val="24"/>
          <w:szCs w:val="24"/>
        </w:rPr>
        <w:t xml:space="preserve">predstavljaju </w:t>
      </w:r>
      <w:r>
        <w:rPr>
          <w:rFonts w:ascii="Arial" w:hAnsi="Arial" w:cs="Arial"/>
          <w:sz w:val="24"/>
          <w:szCs w:val="24"/>
        </w:rPr>
        <w:t>boračku populaciju, a sve sa ciljem da se obezbjedi provođenje Zakona o reviziji i podzakonskih akata</w:t>
      </w:r>
      <w:r w:rsidR="002A7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kao i  iznalaženja najboljih rješenja za pojedina pitanja i probleme u vezi sa implementacijom Zakona. Osim prednjeg konstantno je v</w:t>
      </w:r>
      <w:r w:rsidR="008A4FAA">
        <w:rPr>
          <w:rFonts w:ascii="Arial" w:hAnsi="Arial" w:cs="Arial"/>
          <w:sz w:val="24"/>
          <w:szCs w:val="24"/>
        </w:rPr>
        <w:t>rš</w:t>
      </w:r>
      <w:r>
        <w:rPr>
          <w:rFonts w:ascii="Arial" w:hAnsi="Arial" w:cs="Arial"/>
          <w:sz w:val="24"/>
          <w:szCs w:val="24"/>
        </w:rPr>
        <w:t xml:space="preserve">ena </w:t>
      </w:r>
      <w:r w:rsidR="008A4FAA">
        <w:rPr>
          <w:rFonts w:ascii="Arial" w:hAnsi="Arial" w:cs="Arial"/>
          <w:sz w:val="24"/>
          <w:szCs w:val="24"/>
        </w:rPr>
        <w:t xml:space="preserve">analiza stanja </w:t>
      </w:r>
      <w:r>
        <w:rPr>
          <w:rFonts w:ascii="Arial" w:hAnsi="Arial" w:cs="Arial"/>
          <w:sz w:val="24"/>
          <w:szCs w:val="24"/>
        </w:rPr>
        <w:t xml:space="preserve">po pitanju provođenja procesa revizije i faktora koji </w:t>
      </w:r>
      <w:r w:rsidR="008A4FAA">
        <w:rPr>
          <w:rFonts w:ascii="Arial" w:hAnsi="Arial" w:cs="Arial"/>
          <w:sz w:val="24"/>
          <w:szCs w:val="24"/>
        </w:rPr>
        <w:t xml:space="preserve">određuju </w:t>
      </w:r>
      <w:r w:rsidR="00A36DBC">
        <w:rPr>
          <w:rFonts w:ascii="Arial" w:hAnsi="Arial" w:cs="Arial"/>
          <w:sz w:val="24"/>
          <w:szCs w:val="24"/>
        </w:rPr>
        <w:t xml:space="preserve">i utiču na isti, </w:t>
      </w:r>
      <w:r w:rsidR="00EA324B">
        <w:rPr>
          <w:rFonts w:ascii="Arial" w:hAnsi="Arial" w:cs="Arial"/>
          <w:sz w:val="24"/>
          <w:szCs w:val="24"/>
        </w:rPr>
        <w:t xml:space="preserve">te </w:t>
      </w:r>
      <w:r w:rsidR="00A36DBC">
        <w:rPr>
          <w:rFonts w:ascii="Arial" w:hAnsi="Arial" w:cs="Arial"/>
          <w:sz w:val="24"/>
          <w:szCs w:val="24"/>
        </w:rPr>
        <w:t xml:space="preserve">su razmatrane </w:t>
      </w:r>
      <w:r w:rsidR="00EA324B">
        <w:rPr>
          <w:rFonts w:ascii="Arial" w:hAnsi="Arial" w:cs="Arial"/>
          <w:sz w:val="24"/>
          <w:szCs w:val="24"/>
        </w:rPr>
        <w:t xml:space="preserve">mogućnosti </w:t>
      </w:r>
      <w:r w:rsidR="00A36DBC">
        <w:rPr>
          <w:rFonts w:ascii="Arial" w:hAnsi="Arial" w:cs="Arial"/>
          <w:sz w:val="24"/>
          <w:szCs w:val="24"/>
        </w:rPr>
        <w:t xml:space="preserve">i iznalažena rješenja </w:t>
      </w:r>
      <w:r w:rsidR="00EA324B">
        <w:rPr>
          <w:rFonts w:ascii="Arial" w:hAnsi="Arial" w:cs="Arial"/>
          <w:sz w:val="24"/>
          <w:szCs w:val="24"/>
        </w:rPr>
        <w:t>za njegovo unapređenje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sa Zakonom o reviziji</w:t>
      </w:r>
      <w:r w:rsidR="00797C45">
        <w:rPr>
          <w:rFonts w:ascii="Arial" w:hAnsi="Arial" w:cs="Arial"/>
          <w:sz w:val="24"/>
          <w:szCs w:val="24"/>
        </w:rPr>
        <w:t xml:space="preserve"> i usvojenim Dinamičkim planom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A28" w:rsidRDefault="00776A28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A28" w:rsidRDefault="00776A28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A36DBC">
        <w:rPr>
          <w:rFonts w:ascii="Arial" w:hAnsi="Arial" w:cs="Arial"/>
          <w:sz w:val="24"/>
          <w:szCs w:val="24"/>
        </w:rPr>
        <w:t xml:space="preserve"> </w:t>
      </w:r>
      <w:r w:rsidR="002A7A84">
        <w:rPr>
          <w:rFonts w:ascii="Arial" w:hAnsi="Arial" w:cs="Arial"/>
          <w:sz w:val="24"/>
          <w:szCs w:val="24"/>
        </w:rPr>
        <w:t>januar-mart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2A7A84">
        <w:rPr>
          <w:rFonts w:ascii="Arial" w:hAnsi="Arial" w:cs="Arial"/>
          <w:sz w:val="24"/>
          <w:szCs w:val="24"/>
        </w:rPr>
        <w:t>7</w:t>
      </w:r>
      <w:r w:rsidR="009F70E8">
        <w:rPr>
          <w:rFonts w:ascii="Arial" w:hAnsi="Arial" w:cs="Arial"/>
          <w:sz w:val="24"/>
          <w:szCs w:val="24"/>
        </w:rPr>
        <w:t xml:space="preserve">. godine,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b/>
          <w:szCs w:val="24"/>
        </w:rPr>
        <w:t>1.</w:t>
      </w:r>
      <w:r w:rsidRPr="00170853">
        <w:rPr>
          <w:rFonts w:ascii="Arial" w:hAnsi="Arial" w:cs="Arial"/>
          <w:szCs w:val="24"/>
        </w:rPr>
        <w:t xml:space="preserve"> 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2A7A84">
        <w:rPr>
          <w:rFonts w:ascii="Arial" w:hAnsi="Arial" w:cs="Arial"/>
          <w:szCs w:val="24"/>
        </w:rPr>
        <w:t>januar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A36DBC">
        <w:rPr>
          <w:rFonts w:ascii="Arial" w:hAnsi="Arial" w:cs="Arial"/>
          <w:szCs w:val="24"/>
        </w:rPr>
        <w:t>1</w:t>
      </w:r>
      <w:r w:rsidR="00CB360B">
        <w:rPr>
          <w:rFonts w:ascii="Arial" w:hAnsi="Arial" w:cs="Arial"/>
          <w:szCs w:val="24"/>
        </w:rPr>
        <w:t xml:space="preserve">. </w:t>
      </w:r>
      <w:r w:rsidR="002A7A84">
        <w:rPr>
          <w:rFonts w:ascii="Arial" w:hAnsi="Arial" w:cs="Arial"/>
          <w:szCs w:val="24"/>
        </w:rPr>
        <w:t>mart</w:t>
      </w:r>
      <w:r w:rsidR="00A36DBC"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>201</w:t>
      </w:r>
      <w:r w:rsidR="002A7A84">
        <w:rPr>
          <w:rFonts w:ascii="Arial" w:hAnsi="Arial" w:cs="Arial"/>
          <w:szCs w:val="24"/>
        </w:rPr>
        <w:t>7</w:t>
      </w:r>
      <w:r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</w:p>
    <w:p w:rsidR="00F37D6A" w:rsidRDefault="00F37D6A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</w:p>
    <w:p w:rsidR="00A36DBC" w:rsidRPr="00170853" w:rsidRDefault="002A7A84" w:rsidP="00A36DB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36DBC" w:rsidRPr="00170853">
        <w:rPr>
          <w:rFonts w:ascii="Arial" w:hAnsi="Arial" w:cs="Arial"/>
          <w:b/>
          <w:sz w:val="24"/>
          <w:szCs w:val="24"/>
        </w:rPr>
        <w:t>.</w:t>
      </w:r>
      <w:r w:rsidR="00A36DBC" w:rsidRPr="00A36DBC">
        <w:rPr>
          <w:rFonts w:ascii="Arial" w:hAnsi="Arial" w:cs="Arial"/>
          <w:sz w:val="24"/>
          <w:szCs w:val="24"/>
        </w:rPr>
        <w:t>Zadužuje se Federalno ministarstvo za pitanja boraca i invalida odbrambeno-oslobodilačkog rata/Federalno ministarstv</w:t>
      </w:r>
      <w:r w:rsidR="00FB28F5">
        <w:rPr>
          <w:rFonts w:ascii="Arial" w:hAnsi="Arial" w:cs="Arial"/>
          <w:sz w:val="24"/>
          <w:szCs w:val="24"/>
        </w:rPr>
        <w:t>o</w:t>
      </w:r>
      <w:r w:rsidR="00A36DBC" w:rsidRPr="00A36DBC">
        <w:rPr>
          <w:rFonts w:ascii="Arial" w:hAnsi="Arial" w:cs="Arial"/>
          <w:sz w:val="24"/>
          <w:szCs w:val="24"/>
        </w:rPr>
        <w:t xml:space="preserve"> za pitanja branitelja i invalida domovinskog</w:t>
      </w:r>
      <w:r>
        <w:rPr>
          <w:rFonts w:ascii="Arial" w:hAnsi="Arial" w:cs="Arial"/>
          <w:sz w:val="24"/>
          <w:szCs w:val="24"/>
        </w:rPr>
        <w:t xml:space="preserve"> i</w:t>
      </w:r>
      <w:r w:rsidR="00EF1C86">
        <w:rPr>
          <w:rFonts w:ascii="Arial" w:hAnsi="Arial" w:cs="Arial"/>
          <w:sz w:val="24"/>
          <w:szCs w:val="24"/>
        </w:rPr>
        <w:t xml:space="preserve"> </w:t>
      </w:r>
      <w:r w:rsidR="00A36DBC" w:rsidRPr="00A36DBC">
        <w:rPr>
          <w:rFonts w:ascii="Arial" w:hAnsi="Arial" w:cs="Arial"/>
          <w:sz w:val="24"/>
          <w:szCs w:val="24"/>
        </w:rPr>
        <w:t xml:space="preserve">Institut za medicinsko vještačenje zdravstvenog stanja da </w:t>
      </w:r>
      <w:r w:rsidR="000D6D65">
        <w:rPr>
          <w:rFonts w:ascii="Arial" w:hAnsi="Arial" w:cs="Arial"/>
          <w:sz w:val="24"/>
          <w:szCs w:val="24"/>
        </w:rPr>
        <w:t xml:space="preserve">i dalje </w:t>
      </w:r>
      <w:r w:rsidR="00A36DBC" w:rsidRPr="00A36DBC">
        <w:rPr>
          <w:rFonts w:ascii="Arial" w:hAnsi="Arial" w:cs="Arial"/>
          <w:sz w:val="24"/>
          <w:szCs w:val="24"/>
        </w:rPr>
        <w:t>preduzm</w:t>
      </w:r>
      <w:r w:rsidR="000D6D65">
        <w:rPr>
          <w:rFonts w:ascii="Arial" w:hAnsi="Arial" w:cs="Arial"/>
          <w:sz w:val="24"/>
          <w:szCs w:val="24"/>
        </w:rPr>
        <w:t>aju</w:t>
      </w:r>
      <w:r w:rsidR="00A36DBC" w:rsidRPr="00A36DBC">
        <w:rPr>
          <w:rFonts w:ascii="Arial" w:hAnsi="Arial" w:cs="Arial"/>
          <w:sz w:val="24"/>
          <w:szCs w:val="24"/>
        </w:rPr>
        <w:t xml:space="preserve"> organizacione i sve druge radnje</w:t>
      </w:r>
      <w:r w:rsidR="00FB28F5">
        <w:rPr>
          <w:rFonts w:ascii="Arial" w:hAnsi="Arial" w:cs="Arial"/>
          <w:sz w:val="24"/>
          <w:szCs w:val="24"/>
        </w:rPr>
        <w:t xml:space="preserve"> i mjere</w:t>
      </w:r>
      <w:r w:rsidR="00A36DBC" w:rsidRPr="00A36DBC">
        <w:rPr>
          <w:rFonts w:ascii="Arial" w:hAnsi="Arial" w:cs="Arial"/>
          <w:sz w:val="24"/>
          <w:szCs w:val="24"/>
        </w:rPr>
        <w:t xml:space="preserve"> iz svoje nadležnosti u cilju </w:t>
      </w:r>
      <w:r>
        <w:rPr>
          <w:rFonts w:ascii="Arial" w:hAnsi="Arial" w:cs="Arial"/>
          <w:sz w:val="24"/>
          <w:szCs w:val="24"/>
        </w:rPr>
        <w:t>dostizanja planiranih brojčanih parametara iz</w:t>
      </w:r>
      <w:r w:rsidR="00A36DBC" w:rsidRPr="00A36DBC">
        <w:rPr>
          <w:rFonts w:ascii="Arial" w:hAnsi="Arial" w:cs="Arial"/>
          <w:sz w:val="24"/>
          <w:szCs w:val="24"/>
        </w:rPr>
        <w:t xml:space="preserve"> Dinamičkog plana </w:t>
      </w:r>
      <w:r>
        <w:rPr>
          <w:rFonts w:ascii="Arial" w:hAnsi="Arial" w:cs="Arial"/>
          <w:sz w:val="24"/>
          <w:szCs w:val="24"/>
        </w:rPr>
        <w:t xml:space="preserve">kontrole zakonitosti korištenja prava iz oblasti branilačko-invalidske zaštite za </w:t>
      </w:r>
      <w:r w:rsidR="00A36DBC">
        <w:rPr>
          <w:rFonts w:ascii="Arial" w:hAnsi="Arial" w:cs="Arial"/>
          <w:sz w:val="24"/>
          <w:szCs w:val="24"/>
        </w:rPr>
        <w:t xml:space="preserve">2017. godinu. </w:t>
      </w:r>
    </w:p>
    <w:p w:rsidR="00BB4C27" w:rsidRPr="00170853" w:rsidRDefault="00BB4C27" w:rsidP="00CB360B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DF" w:rsidRDefault="00B476DF" w:rsidP="00B44205">
      <w:pPr>
        <w:spacing w:after="0" w:line="240" w:lineRule="auto"/>
      </w:pPr>
      <w:r>
        <w:separator/>
      </w:r>
    </w:p>
  </w:endnote>
  <w:endnote w:type="continuationSeparator" w:id="0">
    <w:p w:rsidR="00B476DF" w:rsidRDefault="00B476DF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emorandum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A28" w:rsidRDefault="00776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7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A28" w:rsidRDefault="00776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DF" w:rsidRDefault="00B476DF" w:rsidP="00B44205">
      <w:pPr>
        <w:spacing w:after="0" w:line="240" w:lineRule="auto"/>
      </w:pPr>
      <w:r>
        <w:separator/>
      </w:r>
    </w:p>
  </w:footnote>
  <w:footnote w:type="continuationSeparator" w:id="0">
    <w:p w:rsidR="00B476DF" w:rsidRDefault="00B476DF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2C"/>
    <w:multiLevelType w:val="hybridMultilevel"/>
    <w:tmpl w:val="71A4107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E5"/>
    <w:multiLevelType w:val="hybridMultilevel"/>
    <w:tmpl w:val="11EE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B81"/>
    <w:multiLevelType w:val="hybridMultilevel"/>
    <w:tmpl w:val="93FA4534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335"/>
    <w:multiLevelType w:val="hybridMultilevel"/>
    <w:tmpl w:val="E07C781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A47"/>
    <w:multiLevelType w:val="multilevel"/>
    <w:tmpl w:val="5A56E8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DC6E06"/>
    <w:multiLevelType w:val="hybridMultilevel"/>
    <w:tmpl w:val="64C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A36"/>
    <w:multiLevelType w:val="hybridMultilevel"/>
    <w:tmpl w:val="635E9F7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5C3342"/>
    <w:multiLevelType w:val="hybridMultilevel"/>
    <w:tmpl w:val="94783E4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E2344F"/>
    <w:multiLevelType w:val="hybridMultilevel"/>
    <w:tmpl w:val="DD2A39DC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8A2"/>
    <w:multiLevelType w:val="hybridMultilevel"/>
    <w:tmpl w:val="055E65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5DD63D3"/>
    <w:multiLevelType w:val="hybridMultilevel"/>
    <w:tmpl w:val="E30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25AE9"/>
    <w:multiLevelType w:val="hybridMultilevel"/>
    <w:tmpl w:val="475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A24"/>
    <w:multiLevelType w:val="hybridMultilevel"/>
    <w:tmpl w:val="DE4A460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22DF5"/>
    <w:multiLevelType w:val="hybridMultilevel"/>
    <w:tmpl w:val="4F6A0920"/>
    <w:lvl w:ilvl="0" w:tplc="79A409E4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3CE4"/>
    <w:multiLevelType w:val="hybridMultilevel"/>
    <w:tmpl w:val="4E78BDB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40163"/>
    <w:multiLevelType w:val="hybridMultilevel"/>
    <w:tmpl w:val="B49C5298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072CC"/>
    <w:multiLevelType w:val="hybridMultilevel"/>
    <w:tmpl w:val="9C0C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1A00"/>
    <w:multiLevelType w:val="hybridMultilevel"/>
    <w:tmpl w:val="D46A8BA4"/>
    <w:lvl w:ilvl="0" w:tplc="5E1A8F24">
      <w:start w:val="3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25CE16CD"/>
    <w:multiLevelType w:val="hybridMultilevel"/>
    <w:tmpl w:val="D5EA0E14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1" w15:restartNumberingAfterBreak="0">
    <w:nsid w:val="298F20B7"/>
    <w:multiLevelType w:val="hybridMultilevel"/>
    <w:tmpl w:val="8F7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60D1"/>
    <w:multiLevelType w:val="hybridMultilevel"/>
    <w:tmpl w:val="D868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63737"/>
    <w:multiLevelType w:val="hybridMultilevel"/>
    <w:tmpl w:val="1116C4EE"/>
    <w:lvl w:ilvl="0" w:tplc="A10A9AC6">
      <w:start w:val="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1C70"/>
    <w:multiLevelType w:val="hybridMultilevel"/>
    <w:tmpl w:val="71D2008E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04D92"/>
    <w:multiLevelType w:val="multilevel"/>
    <w:tmpl w:val="499E8F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A02159A"/>
    <w:multiLevelType w:val="hybridMultilevel"/>
    <w:tmpl w:val="6B365BB4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3A02"/>
    <w:multiLevelType w:val="hybridMultilevel"/>
    <w:tmpl w:val="31980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C23"/>
    <w:multiLevelType w:val="hybridMultilevel"/>
    <w:tmpl w:val="F940AF68"/>
    <w:lvl w:ilvl="0" w:tplc="C7267E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C59A6"/>
    <w:multiLevelType w:val="hybridMultilevel"/>
    <w:tmpl w:val="8048CC0A"/>
    <w:lvl w:ilvl="0" w:tplc="F8B4B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73902"/>
    <w:multiLevelType w:val="hybridMultilevel"/>
    <w:tmpl w:val="8BB2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D25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07910"/>
    <w:multiLevelType w:val="hybridMultilevel"/>
    <w:tmpl w:val="1412696E"/>
    <w:lvl w:ilvl="0" w:tplc="F90622CA">
      <w:start w:val="1"/>
      <w:numFmt w:val="lowerLetter"/>
      <w:lvlText w:val="%1)"/>
      <w:lvlJc w:val="left"/>
      <w:pPr>
        <w:ind w:left="362" w:hanging="360"/>
      </w:pPr>
      <w:rPr>
        <w:rFonts w:eastAsiaTheme="majorEastAsia"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082" w:hanging="360"/>
      </w:pPr>
    </w:lvl>
    <w:lvl w:ilvl="2" w:tplc="141A001B" w:tentative="1">
      <w:start w:val="1"/>
      <w:numFmt w:val="lowerRoman"/>
      <w:lvlText w:val="%3."/>
      <w:lvlJc w:val="right"/>
      <w:pPr>
        <w:ind w:left="1802" w:hanging="180"/>
      </w:pPr>
    </w:lvl>
    <w:lvl w:ilvl="3" w:tplc="141A000F" w:tentative="1">
      <w:start w:val="1"/>
      <w:numFmt w:val="decimal"/>
      <w:lvlText w:val="%4."/>
      <w:lvlJc w:val="left"/>
      <w:pPr>
        <w:ind w:left="2522" w:hanging="360"/>
      </w:pPr>
    </w:lvl>
    <w:lvl w:ilvl="4" w:tplc="141A0019" w:tentative="1">
      <w:start w:val="1"/>
      <w:numFmt w:val="lowerLetter"/>
      <w:lvlText w:val="%5."/>
      <w:lvlJc w:val="left"/>
      <w:pPr>
        <w:ind w:left="3242" w:hanging="360"/>
      </w:pPr>
    </w:lvl>
    <w:lvl w:ilvl="5" w:tplc="141A001B" w:tentative="1">
      <w:start w:val="1"/>
      <w:numFmt w:val="lowerRoman"/>
      <w:lvlText w:val="%6."/>
      <w:lvlJc w:val="right"/>
      <w:pPr>
        <w:ind w:left="3962" w:hanging="180"/>
      </w:pPr>
    </w:lvl>
    <w:lvl w:ilvl="6" w:tplc="141A000F" w:tentative="1">
      <w:start w:val="1"/>
      <w:numFmt w:val="decimal"/>
      <w:lvlText w:val="%7."/>
      <w:lvlJc w:val="left"/>
      <w:pPr>
        <w:ind w:left="4682" w:hanging="360"/>
      </w:pPr>
    </w:lvl>
    <w:lvl w:ilvl="7" w:tplc="141A0019" w:tentative="1">
      <w:start w:val="1"/>
      <w:numFmt w:val="lowerLetter"/>
      <w:lvlText w:val="%8."/>
      <w:lvlJc w:val="left"/>
      <w:pPr>
        <w:ind w:left="5402" w:hanging="360"/>
      </w:pPr>
    </w:lvl>
    <w:lvl w:ilvl="8" w:tplc="1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4D920DFD"/>
    <w:multiLevelType w:val="hybridMultilevel"/>
    <w:tmpl w:val="FF46DFEE"/>
    <w:lvl w:ilvl="0" w:tplc="296A0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84DCA"/>
    <w:multiLevelType w:val="hybridMultilevel"/>
    <w:tmpl w:val="EF44B638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091F"/>
    <w:multiLevelType w:val="hybridMultilevel"/>
    <w:tmpl w:val="2738E1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7D9D"/>
    <w:multiLevelType w:val="hybridMultilevel"/>
    <w:tmpl w:val="4AF2965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129"/>
    <w:multiLevelType w:val="hybridMultilevel"/>
    <w:tmpl w:val="7EF4E6A0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46651"/>
    <w:multiLevelType w:val="hybridMultilevel"/>
    <w:tmpl w:val="FE4689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8311F3"/>
    <w:multiLevelType w:val="hybridMultilevel"/>
    <w:tmpl w:val="B12EA9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13D22FF"/>
    <w:multiLevelType w:val="hybridMultilevel"/>
    <w:tmpl w:val="AC8E7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286B"/>
    <w:multiLevelType w:val="hybridMultilevel"/>
    <w:tmpl w:val="B18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64BA"/>
    <w:multiLevelType w:val="hybridMultilevel"/>
    <w:tmpl w:val="99E8DC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BF1B63"/>
    <w:multiLevelType w:val="hybridMultilevel"/>
    <w:tmpl w:val="5EBA8E66"/>
    <w:lvl w:ilvl="0" w:tplc="141A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43FC0"/>
    <w:multiLevelType w:val="hybridMultilevel"/>
    <w:tmpl w:val="7E248E90"/>
    <w:lvl w:ilvl="0" w:tplc="B532EC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A6FD6"/>
    <w:multiLevelType w:val="hybridMultilevel"/>
    <w:tmpl w:val="4DCC1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6911"/>
    <w:multiLevelType w:val="hybridMultilevel"/>
    <w:tmpl w:val="238E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F761B"/>
    <w:multiLevelType w:val="hybridMultilevel"/>
    <w:tmpl w:val="47B2DF44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DD52E75"/>
    <w:multiLevelType w:val="multilevel"/>
    <w:tmpl w:val="D65C14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E5C8B"/>
    <w:multiLevelType w:val="hybridMultilevel"/>
    <w:tmpl w:val="59C652C6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30"/>
  </w:num>
  <w:num w:numId="5">
    <w:abstractNumId w:val="8"/>
  </w:num>
  <w:num w:numId="6">
    <w:abstractNumId w:val="37"/>
  </w:num>
  <w:num w:numId="7">
    <w:abstractNumId w:val="36"/>
  </w:num>
  <w:num w:numId="8">
    <w:abstractNumId w:val="43"/>
  </w:num>
  <w:num w:numId="9">
    <w:abstractNumId w:val="19"/>
  </w:num>
  <w:num w:numId="10">
    <w:abstractNumId w:val="27"/>
  </w:num>
  <w:num w:numId="11">
    <w:abstractNumId w:val="26"/>
  </w:num>
  <w:num w:numId="12">
    <w:abstractNumId w:val="38"/>
  </w:num>
  <w:num w:numId="13">
    <w:abstractNumId w:val="1"/>
  </w:num>
  <w:num w:numId="14">
    <w:abstractNumId w:val="22"/>
  </w:num>
  <w:num w:numId="15">
    <w:abstractNumId w:val="5"/>
  </w:num>
  <w:num w:numId="16">
    <w:abstractNumId w:val="40"/>
  </w:num>
  <w:num w:numId="17">
    <w:abstractNumId w:val="45"/>
  </w:num>
  <w:num w:numId="18">
    <w:abstractNumId w:val="18"/>
  </w:num>
  <w:num w:numId="19">
    <w:abstractNumId w:val="21"/>
  </w:num>
  <w:num w:numId="20">
    <w:abstractNumId w:val="11"/>
  </w:num>
  <w:num w:numId="21">
    <w:abstractNumId w:val="15"/>
  </w:num>
  <w:num w:numId="22">
    <w:abstractNumId w:val="17"/>
  </w:num>
  <w:num w:numId="23">
    <w:abstractNumId w:val="41"/>
  </w:num>
  <w:num w:numId="24">
    <w:abstractNumId w:val="20"/>
  </w:num>
  <w:num w:numId="25">
    <w:abstractNumId w:val="14"/>
  </w:num>
  <w:num w:numId="26">
    <w:abstractNumId w:val="12"/>
  </w:num>
  <w:num w:numId="27">
    <w:abstractNumId w:val="10"/>
  </w:num>
  <w:num w:numId="28">
    <w:abstractNumId w:val="48"/>
  </w:num>
  <w:num w:numId="29">
    <w:abstractNumId w:val="46"/>
  </w:num>
  <w:num w:numId="30">
    <w:abstractNumId w:val="34"/>
  </w:num>
  <w:num w:numId="31">
    <w:abstractNumId w:val="28"/>
  </w:num>
  <w:num w:numId="32">
    <w:abstractNumId w:val="6"/>
  </w:num>
  <w:num w:numId="33">
    <w:abstractNumId w:val="3"/>
  </w:num>
  <w:num w:numId="34">
    <w:abstractNumId w:val="2"/>
  </w:num>
  <w:num w:numId="35">
    <w:abstractNumId w:val="9"/>
  </w:num>
  <w:num w:numId="36">
    <w:abstractNumId w:val="33"/>
  </w:num>
  <w:num w:numId="37">
    <w:abstractNumId w:val="0"/>
  </w:num>
  <w:num w:numId="38">
    <w:abstractNumId w:val="16"/>
  </w:num>
  <w:num w:numId="39">
    <w:abstractNumId w:val="42"/>
  </w:num>
  <w:num w:numId="40">
    <w:abstractNumId w:val="39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4"/>
  </w:num>
  <w:num w:numId="49">
    <w:abstractNumId w:val="7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52B0"/>
    <w:rsid w:val="000060EE"/>
    <w:rsid w:val="000073EC"/>
    <w:rsid w:val="000075FF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442"/>
    <w:rsid w:val="000305B1"/>
    <w:rsid w:val="000324C8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6277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3BB8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A0627"/>
    <w:rsid w:val="001A1C44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2021EC"/>
    <w:rsid w:val="0020434F"/>
    <w:rsid w:val="00205F4F"/>
    <w:rsid w:val="00206B23"/>
    <w:rsid w:val="00206C1C"/>
    <w:rsid w:val="0020707E"/>
    <w:rsid w:val="00210A18"/>
    <w:rsid w:val="00211459"/>
    <w:rsid w:val="002117E6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554F"/>
    <w:rsid w:val="002659B4"/>
    <w:rsid w:val="00265CF3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81A6C"/>
    <w:rsid w:val="00281A8B"/>
    <w:rsid w:val="00283AEA"/>
    <w:rsid w:val="00284C88"/>
    <w:rsid w:val="00284D85"/>
    <w:rsid w:val="002857D9"/>
    <w:rsid w:val="0028702B"/>
    <w:rsid w:val="0028710F"/>
    <w:rsid w:val="00287517"/>
    <w:rsid w:val="00290556"/>
    <w:rsid w:val="002906F1"/>
    <w:rsid w:val="00290A15"/>
    <w:rsid w:val="00290E4F"/>
    <w:rsid w:val="00291487"/>
    <w:rsid w:val="00291877"/>
    <w:rsid w:val="00292C1C"/>
    <w:rsid w:val="00294791"/>
    <w:rsid w:val="00294C71"/>
    <w:rsid w:val="00295267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7218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50873"/>
    <w:rsid w:val="00352907"/>
    <w:rsid w:val="00352C52"/>
    <w:rsid w:val="00354086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4"/>
    <w:rsid w:val="003D569F"/>
    <w:rsid w:val="003D5EB2"/>
    <w:rsid w:val="003D640E"/>
    <w:rsid w:val="003D6A2F"/>
    <w:rsid w:val="003D7A4A"/>
    <w:rsid w:val="003E0162"/>
    <w:rsid w:val="003E2694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609B"/>
    <w:rsid w:val="003F75AD"/>
    <w:rsid w:val="0040026C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02B"/>
    <w:rsid w:val="00416795"/>
    <w:rsid w:val="00416C0B"/>
    <w:rsid w:val="00417B3B"/>
    <w:rsid w:val="00422BE1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3464"/>
    <w:rsid w:val="00434C72"/>
    <w:rsid w:val="00435093"/>
    <w:rsid w:val="004359F4"/>
    <w:rsid w:val="00436524"/>
    <w:rsid w:val="004369A6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701A"/>
    <w:rsid w:val="00537835"/>
    <w:rsid w:val="0053797B"/>
    <w:rsid w:val="0053798D"/>
    <w:rsid w:val="00537C80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A6E"/>
    <w:rsid w:val="00572B43"/>
    <w:rsid w:val="00572E0B"/>
    <w:rsid w:val="005731C6"/>
    <w:rsid w:val="005733C5"/>
    <w:rsid w:val="00573A00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752"/>
    <w:rsid w:val="005A67D8"/>
    <w:rsid w:val="005A68EE"/>
    <w:rsid w:val="005A7373"/>
    <w:rsid w:val="005A7615"/>
    <w:rsid w:val="005B147C"/>
    <w:rsid w:val="005B22C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583D"/>
    <w:rsid w:val="005E6EE4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E4F"/>
    <w:rsid w:val="0062255A"/>
    <w:rsid w:val="00623195"/>
    <w:rsid w:val="00623360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4BFE"/>
    <w:rsid w:val="00634E86"/>
    <w:rsid w:val="00635100"/>
    <w:rsid w:val="006359CD"/>
    <w:rsid w:val="00637216"/>
    <w:rsid w:val="006373C4"/>
    <w:rsid w:val="00637FAB"/>
    <w:rsid w:val="006417F0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344A"/>
    <w:rsid w:val="006A39EB"/>
    <w:rsid w:val="006A3F80"/>
    <w:rsid w:val="006A6F06"/>
    <w:rsid w:val="006A7433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16FC"/>
    <w:rsid w:val="0074186E"/>
    <w:rsid w:val="007429B9"/>
    <w:rsid w:val="00743040"/>
    <w:rsid w:val="00743693"/>
    <w:rsid w:val="00743AE7"/>
    <w:rsid w:val="0074479E"/>
    <w:rsid w:val="0074682B"/>
    <w:rsid w:val="007469AA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7F51"/>
    <w:rsid w:val="00771C2E"/>
    <w:rsid w:val="007726BB"/>
    <w:rsid w:val="00773C1D"/>
    <w:rsid w:val="007745D9"/>
    <w:rsid w:val="0077487F"/>
    <w:rsid w:val="00774E79"/>
    <w:rsid w:val="00775840"/>
    <w:rsid w:val="00776A28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69D9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C0B7F"/>
    <w:rsid w:val="007C11C3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703F6"/>
    <w:rsid w:val="008707D0"/>
    <w:rsid w:val="0087098F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E01A8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72AF"/>
    <w:rsid w:val="00917711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95F"/>
    <w:rsid w:val="009F1D3C"/>
    <w:rsid w:val="009F2368"/>
    <w:rsid w:val="009F274C"/>
    <w:rsid w:val="009F2BF8"/>
    <w:rsid w:val="009F3148"/>
    <w:rsid w:val="009F4780"/>
    <w:rsid w:val="009F4D58"/>
    <w:rsid w:val="009F521B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16358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6DBC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144B"/>
    <w:rsid w:val="00A6180D"/>
    <w:rsid w:val="00A6237B"/>
    <w:rsid w:val="00A62A70"/>
    <w:rsid w:val="00A62B57"/>
    <w:rsid w:val="00A63449"/>
    <w:rsid w:val="00A636BB"/>
    <w:rsid w:val="00A6474D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DA2"/>
    <w:rsid w:val="00A840D5"/>
    <w:rsid w:val="00A840D6"/>
    <w:rsid w:val="00A84383"/>
    <w:rsid w:val="00A847F9"/>
    <w:rsid w:val="00A86708"/>
    <w:rsid w:val="00A86CBF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72A5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F2A"/>
    <w:rsid w:val="00B01FE0"/>
    <w:rsid w:val="00B02314"/>
    <w:rsid w:val="00B03A8A"/>
    <w:rsid w:val="00B04582"/>
    <w:rsid w:val="00B0558A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3288"/>
    <w:rsid w:val="00B439A0"/>
    <w:rsid w:val="00B44205"/>
    <w:rsid w:val="00B44A77"/>
    <w:rsid w:val="00B45ACE"/>
    <w:rsid w:val="00B45C3B"/>
    <w:rsid w:val="00B46295"/>
    <w:rsid w:val="00B466E9"/>
    <w:rsid w:val="00B476DF"/>
    <w:rsid w:val="00B47830"/>
    <w:rsid w:val="00B47FFD"/>
    <w:rsid w:val="00B50853"/>
    <w:rsid w:val="00B5169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E1C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210B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4A6D"/>
    <w:rsid w:val="00C64E23"/>
    <w:rsid w:val="00C67086"/>
    <w:rsid w:val="00C6758C"/>
    <w:rsid w:val="00C7135A"/>
    <w:rsid w:val="00C72126"/>
    <w:rsid w:val="00C74566"/>
    <w:rsid w:val="00C7529D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276"/>
    <w:rsid w:val="00D968F6"/>
    <w:rsid w:val="00D96E71"/>
    <w:rsid w:val="00D97874"/>
    <w:rsid w:val="00DA0B6A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6608"/>
    <w:rsid w:val="00DC12CC"/>
    <w:rsid w:val="00DC2594"/>
    <w:rsid w:val="00DC290E"/>
    <w:rsid w:val="00DC2C16"/>
    <w:rsid w:val="00DC3FBB"/>
    <w:rsid w:val="00DC6099"/>
    <w:rsid w:val="00DD0E11"/>
    <w:rsid w:val="00DD1799"/>
    <w:rsid w:val="00DD2AA1"/>
    <w:rsid w:val="00DD32A8"/>
    <w:rsid w:val="00DD3A4F"/>
    <w:rsid w:val="00DD4322"/>
    <w:rsid w:val="00DD4473"/>
    <w:rsid w:val="00DD7097"/>
    <w:rsid w:val="00DE1ED9"/>
    <w:rsid w:val="00DE353C"/>
    <w:rsid w:val="00DE422E"/>
    <w:rsid w:val="00DF02AD"/>
    <w:rsid w:val="00DF16E9"/>
    <w:rsid w:val="00DF2236"/>
    <w:rsid w:val="00DF2A55"/>
    <w:rsid w:val="00DF3B57"/>
    <w:rsid w:val="00DF45D5"/>
    <w:rsid w:val="00DF52DC"/>
    <w:rsid w:val="00DF74F7"/>
    <w:rsid w:val="00E00F1D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B11"/>
    <w:rsid w:val="00E13D79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324B"/>
    <w:rsid w:val="00EA3587"/>
    <w:rsid w:val="00EA4F56"/>
    <w:rsid w:val="00EA634C"/>
    <w:rsid w:val="00EA74E9"/>
    <w:rsid w:val="00EB0290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7E85"/>
    <w:rsid w:val="00EC0840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0ECF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1C86"/>
    <w:rsid w:val="00EF33E0"/>
    <w:rsid w:val="00EF4538"/>
    <w:rsid w:val="00EF4C7D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571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1658F-449C-400A-B827-21C70F9A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C1E8-E082-4A31-8F67-93D8A4E4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9732</Words>
  <Characters>55475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3</cp:revision>
  <cp:lastPrinted>2017-05-08T13:57:00Z</cp:lastPrinted>
  <dcterms:created xsi:type="dcterms:W3CDTF">2017-07-14T08:19:00Z</dcterms:created>
  <dcterms:modified xsi:type="dcterms:W3CDTF">2017-07-14T08:19:00Z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