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85" w:rsidRPr="00332F85" w:rsidRDefault="00332F85" w:rsidP="00332F8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332F85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Na osnovu člana 55. stav 1. Zakona o pravima branilaca i članova njihovih porodica (''Službene novine Federacije BiH'', broj: 33/04), Federalni ministar za pitanja boraca i invalida odbrambeno-oslobodilačkog rata/Federalni ministar za pitanja branitelja i invalida domovinskog rata d o n o s i:</w:t>
      </w:r>
    </w:p>
    <w:p w:rsidR="00332F85" w:rsidRPr="00332F85" w:rsidRDefault="00332F85" w:rsidP="00332F8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332F85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P R A V I L N I K </w:t>
      </w:r>
      <w:r w:rsidRPr="00332F85">
        <w:rPr>
          <w:rFonts w:ascii="Trebuchet MS" w:eastAsia="Times New Roman" w:hAnsi="Trebuchet MS" w:cs="Times New Roman"/>
          <w:b/>
          <w:bCs/>
          <w:color w:val="333333"/>
          <w:sz w:val="15"/>
          <w:szCs w:val="15"/>
          <w:lang w:eastAsia="bs-Latn-BA"/>
        </w:rPr>
        <w:br/>
      </w:r>
      <w:r w:rsidRPr="00332F85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O DODATKU ZA NJEGU I POMOĆ OD STRANE DRUGOG LICA VOJNIH INVALIDA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1.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Ovim pravilnikom propisuju se medicinske indikacije za razvrstavanje vojnih invalida od I do IV grupe prema potrebi za njegom i pomoći od strane drugog lica i grupi vojnog invaliditeta u stepene dodatka.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2.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 prvi stepen dodatka za njegu i pomoć od strane drugog lica razvrstavaju se vojni invalidi I grupe kod kojih postoji oštećenje organizma predviđeno Pravilnikom o utvrđivanju procenta vojnog invaliditeta, u Listi procenta vojnog invaliditeta koja je sastavni dio tog pravilnika i to u sljedećim odredbama: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29"/>
        <w:gridCol w:w="691"/>
        <w:gridCol w:w="7452"/>
      </w:tblGrid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56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Amputacija obje ruke u laktu;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60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Amputacija obje ruke u mišici;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67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Eksartikulacija obje ruke u ramenu;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78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Potpuna uzetost obje ruke;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121-b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Eksartikulacija u kuku – obje noge;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124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Obostrana paraliza lubosakralnog pleksusa;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150-č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Klinički utvrđena epilepsija nastala usljed povrede ili bolesti kad su napadi veoma česti, jednom ili više puta dnevno;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157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Sljepilo, odnosno gubitak vida na oba oka;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192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Najteži slučajevi bulbarne paralize;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200-č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Parkinsonizam – najtežeg stepena;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206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Konsolidovane frakture kičme, sa flakcidnom paraplegijom ili spastičnom paraplegijom u fleksiji – trajna nepokretljivost i vezanost za postelju;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207-č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Konsolidovane frakture cervikalnog dijela kičme, sa lezijom cervikalne medule i paretičnim pojavama na gornjim i donjim ekstremitetima – najteži oblici – invalid nepokretan i ne može da se služi rukama;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208-č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Cerebralni ataktički sindrom poslije traume – najteži oblici – nemogućnost kretanja usljed atakcije;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10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--</w:t>
            </w:r>
          </w:p>
        </w:tc>
        <w:tc>
          <w:tcPr>
            <w:tcW w:w="75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209-č</w:t>
            </w:r>
          </w:p>
        </w:tc>
        <w:tc>
          <w:tcPr>
            <w:tcW w:w="840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Klinički utvrđen polineuritički sindrom – najteži oblici – teška oštećenja motoliteta sa atrofijama, teškim trofičkim smetnjama i potpunom oduzetošću ekstremiteta – invalid nepokretan;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32F85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</w:p>
    <w:p w:rsidR="00332F85" w:rsidRPr="00332F85" w:rsidRDefault="00332F85" w:rsidP="00332F8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332F85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Izuzetno od odredbe stava 1. ovog člana, u prvi stepen dodatka za njegu i pomoć od strane drugog lica mogu se razvrstati i vojni invalidi I grupe kod kojih, pored oštećenja organizma iz člana 3. ovog pravilnika postoje i druga oštećenja organizma (obostrana amputacija ekstremiteta, eksartikulacija noge u kuku, demencija, progresivna raširena aktivna tuberkuloza sa razvijenom kaheksijom i drugim teškim komplikacijama i dr.), koja vojnog invalida čine nesposobnim za vršenje svih osnovnih životnih potreba i zahtijevaju neprekidnu njegu i pomoć od strane drugog lica.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3.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 drugi stepen dodatka za njegu i pomoć od strane drugog lica razvrstavaju se vojni invalidi I grupe kod kojih postoji ma koje oštećenje organizma iz Liste procenata vojnog invaliditeta, koje nije obuhvaćeno članom 2. stav 1. ovog pravilnika.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4.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Vojni invalidi II, III i IV grupe, kod kojih postoji oštećenje organizma za koje je, zajedno sa vojnim invaliditetom, u Listi procenata vojnog invaliditeta predviđeno 100% - I grupa vojnog invaliditeta, razvrstavaju se i to: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32F85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68"/>
        <w:gridCol w:w="8304"/>
      </w:tblGrid>
      <w:tr w:rsidR="00332F85" w:rsidRPr="00332F85" w:rsidTr="00332F85">
        <w:trPr>
          <w:tblCellSpacing w:w="0" w:type="dxa"/>
        </w:trPr>
        <w:tc>
          <w:tcPr>
            <w:tcW w:w="85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1)</w:t>
            </w:r>
          </w:p>
        </w:tc>
        <w:tc>
          <w:tcPr>
            <w:tcW w:w="933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 drugi stepen dodatka za njegu i pomoć od strane drugog lica – ako je oštećenje organizma obuhvaćeno članom 2. ovog pravilnika;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85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 </w:t>
            </w:r>
          </w:p>
        </w:tc>
        <w:tc>
          <w:tcPr>
            <w:tcW w:w="9330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</w:tr>
      <w:tr w:rsidR="00332F85" w:rsidRPr="00332F85" w:rsidTr="00332F85">
        <w:trPr>
          <w:tblCellSpacing w:w="0" w:type="dxa"/>
        </w:trPr>
        <w:tc>
          <w:tcPr>
            <w:tcW w:w="85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lastRenderedPageBreak/>
              <w:t>2)</w:t>
            </w:r>
          </w:p>
        </w:tc>
        <w:tc>
          <w:tcPr>
            <w:tcW w:w="933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u trećem stepenu dodatka za njegu i pomoć od strane drugog lica – ako je oštećenje organizma obuhvaćeno članom 3. ovog pravilnika;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5.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Ovaj pravilnik primjenjivaće se od dana početka primjenjivanja Zakona o pravima branilaca i članova njihovih porodica (''Službene novine Federacije BiH'', broj: 33/04) kao i za korisnike prava iz člana 69. stav 2. navedenog zakona.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6.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Danom početka primjene ovog pravilnika prestaje da važi Pravilnik o medicinskim indikacijama za razvrstavanje vojnih invalida od I do IV grupe prema stepenu potrebe za njegom i pomoći od strane drugog lica i grupi vojnog invaliditeta (''Službeni list RBiH, br. 2/92, 6/94 i 13/94) i Pravilnik o medicinskim oštećenjima za razvrstavanja vojnih invalida od I do IV grupe prema stepenu potrebe za njegom i pomoći druge osobe (''Narodni list HR-HB'', br. 28/96).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Član 7.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32F85" w:rsidRPr="00332F85" w:rsidTr="00332F85">
        <w:trPr>
          <w:tblCellSpacing w:w="0" w:type="dxa"/>
        </w:trPr>
        <w:tc>
          <w:tcPr>
            <w:tcW w:w="10185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Ovaj pravilnik stupa na snagu narednog dana od dana objavljivanja u ''Službenim novinama Federacije BiH''.</w:t>
            </w:r>
          </w:p>
        </w:tc>
      </w:tr>
    </w:tbl>
    <w:p w:rsidR="00332F85" w:rsidRPr="00332F85" w:rsidRDefault="00332F85" w:rsidP="00332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32F85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</w:p>
    <w:p w:rsidR="00332F85" w:rsidRPr="00332F85" w:rsidRDefault="00332F85" w:rsidP="00332F8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332F85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Broj:</w:t>
      </w:r>
    </w:p>
    <w:p w:rsidR="00332F85" w:rsidRPr="00332F85" w:rsidRDefault="00332F85" w:rsidP="00332F8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332F85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Sarajevo,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99"/>
        <w:gridCol w:w="331"/>
        <w:gridCol w:w="5342"/>
      </w:tblGrid>
      <w:tr w:rsidR="00332F85" w:rsidRPr="00332F85" w:rsidTr="00332F85">
        <w:trPr>
          <w:tblCellSpacing w:w="0" w:type="dxa"/>
        </w:trPr>
        <w:tc>
          <w:tcPr>
            <w:tcW w:w="3855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375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597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b/>
                <w:bCs/>
                <w:color w:val="333333"/>
                <w:sz w:val="15"/>
                <w:lang w:eastAsia="bs-Latn-BA"/>
              </w:rPr>
              <w:t>M I N I S T A R</w:t>
            </w:r>
          </w:p>
        </w:tc>
      </w:tr>
      <w:tr w:rsidR="00332F85" w:rsidRPr="00332F85" w:rsidTr="00332F85">
        <w:trPr>
          <w:tblCellSpacing w:w="0" w:type="dxa"/>
        </w:trPr>
        <w:tc>
          <w:tcPr>
            <w:tcW w:w="3855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375" w:type="dxa"/>
            <w:hideMark/>
          </w:tcPr>
          <w:p w:rsidR="00332F85" w:rsidRPr="00332F85" w:rsidRDefault="00332F85" w:rsidP="00332F8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</w:p>
        </w:tc>
        <w:tc>
          <w:tcPr>
            <w:tcW w:w="5970" w:type="dxa"/>
            <w:hideMark/>
          </w:tcPr>
          <w:p w:rsidR="00332F85" w:rsidRPr="00332F85" w:rsidRDefault="00332F85" w:rsidP="00332F8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</w:pPr>
            <w:r w:rsidRPr="00332F85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bs-Latn-BA"/>
              </w:rPr>
              <w:t>Ibrahim Nadarević</w:t>
            </w:r>
          </w:p>
        </w:tc>
      </w:tr>
    </w:tbl>
    <w:p w:rsidR="000D08E4" w:rsidRDefault="000D08E4"/>
    <w:sectPr w:rsidR="000D08E4" w:rsidSect="000D0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32F85"/>
    <w:rsid w:val="000D08E4"/>
    <w:rsid w:val="0033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332F85"/>
    <w:rPr>
      <w:b/>
      <w:bCs/>
    </w:rPr>
  </w:style>
  <w:style w:type="character" w:customStyle="1" w:styleId="apple-converted-space">
    <w:name w:val="apple-converted-space"/>
    <w:basedOn w:val="DefaultParagraphFont"/>
    <w:rsid w:val="00332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2014-02-27T11:09:00Z</dcterms:created>
  <dcterms:modified xsi:type="dcterms:W3CDTF">2014-02-27T11:10:00Z</dcterms:modified>
</cp:coreProperties>
</file>